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054508" w:rsidRPr="003E52CF" w:rsidRDefault="00054508" w:rsidP="00054508"/>
    <w:tbl>
      <w:tblPr>
        <w:tblW w:w="0" w:type="auto"/>
        <w:jc w:val="center"/>
        <w:tblInd w:w="108" w:type="dxa"/>
        <w:tblLook w:val="01E0"/>
      </w:tblPr>
      <w:tblGrid>
        <w:gridCol w:w="9104"/>
      </w:tblGrid>
      <w:tr w:rsidR="00054508" w:rsidRPr="005E11B0" w:rsidTr="009D5B08">
        <w:trPr>
          <w:jc w:val="center"/>
        </w:trPr>
        <w:tc>
          <w:tcPr>
            <w:tcW w:w="9104" w:type="dxa"/>
            <w:hideMark/>
          </w:tcPr>
          <w:tbl>
            <w:tblPr>
              <w:tblW w:w="8789" w:type="dxa"/>
              <w:jc w:val="center"/>
              <w:tblLook w:val="01E0"/>
            </w:tblPr>
            <w:tblGrid>
              <w:gridCol w:w="2865"/>
              <w:gridCol w:w="3038"/>
              <w:gridCol w:w="2928"/>
            </w:tblGrid>
            <w:tr w:rsidR="00054508" w:rsidRPr="003E52CF" w:rsidTr="009D5B08">
              <w:trPr>
                <w:trHeight w:val="317"/>
                <w:jc w:val="center"/>
              </w:trPr>
              <w:tc>
                <w:tcPr>
                  <w:tcW w:w="2931" w:type="dxa"/>
                  <w:tcBorders>
                    <w:top w:val="nil"/>
                    <w:left w:val="nil"/>
                    <w:bottom w:val="single" w:sz="4" w:space="0" w:color="660066"/>
                    <w:right w:val="nil"/>
                  </w:tcBorders>
                  <w:vAlign w:val="center"/>
                  <w:hideMark/>
                </w:tcPr>
                <w:p w:rsidR="00054508" w:rsidRPr="00521ABC" w:rsidRDefault="00054508" w:rsidP="009D5B08">
                  <w:pPr>
                    <w:tabs>
                      <w:tab w:val="left" w:pos="567"/>
                      <w:tab w:val="center" w:pos="994"/>
                      <w:tab w:val="center" w:pos="3543"/>
                      <w:tab w:val="right" w:pos="6520"/>
                    </w:tabs>
                    <w:spacing w:before="100" w:beforeAutospacing="1" w:after="100" w:afterAutospacing="1" w:line="240" w:lineRule="exact"/>
                    <w:rPr>
                      <w:lang w:eastAsia="tr-TR"/>
                    </w:rPr>
                  </w:pPr>
                  <w:r w:rsidRPr="00521ABC">
                    <w:rPr>
                      <w:lang w:eastAsia="tr-TR"/>
                    </w:rPr>
                    <w:t xml:space="preserve">12 Mart </w:t>
                  </w:r>
                  <w:r w:rsidRPr="003E52CF">
                    <w:rPr>
                      <w:lang w:eastAsia="tr-TR"/>
                    </w:rPr>
                    <w:t>2013  SALI</w:t>
                  </w:r>
                </w:p>
              </w:tc>
              <w:tc>
                <w:tcPr>
                  <w:tcW w:w="2931" w:type="dxa"/>
                  <w:tcBorders>
                    <w:top w:val="nil"/>
                    <w:left w:val="nil"/>
                    <w:bottom w:val="single" w:sz="4" w:space="0" w:color="660066"/>
                    <w:right w:val="nil"/>
                  </w:tcBorders>
                  <w:vAlign w:val="center"/>
                  <w:hideMark/>
                </w:tcPr>
                <w:p w:rsidR="00054508" w:rsidRPr="00521ABC" w:rsidRDefault="00054508" w:rsidP="009D5B08">
                  <w:pPr>
                    <w:tabs>
                      <w:tab w:val="left" w:pos="567"/>
                      <w:tab w:val="center" w:pos="994"/>
                      <w:tab w:val="center" w:pos="3543"/>
                      <w:tab w:val="right" w:pos="6520"/>
                    </w:tabs>
                    <w:spacing w:before="100" w:beforeAutospacing="1" w:after="100" w:afterAutospacing="1" w:line="240" w:lineRule="exact"/>
                    <w:jc w:val="center"/>
                    <w:rPr>
                      <w:lang w:eastAsia="tr-TR"/>
                    </w:rPr>
                  </w:pPr>
                  <w:r w:rsidRPr="00521ABC">
                    <w:rPr>
                      <w:b/>
                      <w:lang w:eastAsia="tr-TR"/>
                    </w:rPr>
                    <w:t>Resmî Gazete</w:t>
                  </w:r>
                </w:p>
              </w:tc>
              <w:tc>
                <w:tcPr>
                  <w:tcW w:w="2927" w:type="dxa"/>
                  <w:tcBorders>
                    <w:top w:val="nil"/>
                    <w:left w:val="nil"/>
                    <w:bottom w:val="single" w:sz="4" w:space="0" w:color="660066"/>
                    <w:right w:val="nil"/>
                  </w:tcBorders>
                  <w:vAlign w:val="center"/>
                  <w:hideMark/>
                </w:tcPr>
                <w:p w:rsidR="00054508" w:rsidRPr="00521ABC" w:rsidRDefault="00054508" w:rsidP="009D5B08">
                  <w:pPr>
                    <w:spacing w:before="100" w:beforeAutospacing="1" w:after="100" w:afterAutospacing="1"/>
                    <w:jc w:val="right"/>
                    <w:rPr>
                      <w:lang w:eastAsia="tr-TR"/>
                    </w:rPr>
                  </w:pPr>
                  <w:r w:rsidRPr="00521ABC">
                    <w:rPr>
                      <w:lang w:eastAsia="tr-TR"/>
                    </w:rPr>
                    <w:t>Sayı : 28585</w:t>
                  </w:r>
                </w:p>
              </w:tc>
            </w:tr>
            <w:tr w:rsidR="00054508" w:rsidRPr="003E52CF" w:rsidTr="009D5B08">
              <w:trPr>
                <w:trHeight w:val="480"/>
                <w:jc w:val="center"/>
              </w:trPr>
              <w:tc>
                <w:tcPr>
                  <w:tcW w:w="8789" w:type="dxa"/>
                  <w:gridSpan w:val="3"/>
                  <w:vAlign w:val="center"/>
                  <w:hideMark/>
                </w:tcPr>
                <w:p w:rsidR="00054508" w:rsidRPr="00521ABC" w:rsidRDefault="00054508" w:rsidP="009D5B08">
                  <w:pPr>
                    <w:spacing w:before="100" w:beforeAutospacing="1" w:after="100" w:afterAutospacing="1"/>
                    <w:jc w:val="center"/>
                    <w:rPr>
                      <w:lang w:eastAsia="tr-TR"/>
                    </w:rPr>
                  </w:pPr>
                  <w:r w:rsidRPr="00521ABC">
                    <w:rPr>
                      <w:b/>
                      <w:lang w:eastAsia="tr-TR"/>
                    </w:rPr>
                    <w:t>KURUL KARARI</w:t>
                  </w:r>
                </w:p>
              </w:tc>
            </w:tr>
            <w:tr w:rsidR="00054508" w:rsidRPr="005E11B0" w:rsidTr="009D5B08">
              <w:trPr>
                <w:trHeight w:val="480"/>
                <w:jc w:val="center"/>
              </w:trPr>
              <w:tc>
                <w:tcPr>
                  <w:tcW w:w="8789" w:type="dxa"/>
                  <w:gridSpan w:val="3"/>
                  <w:vAlign w:val="center"/>
                  <w:hideMark/>
                </w:tcPr>
                <w:p w:rsidR="00054508" w:rsidRPr="00521ABC" w:rsidRDefault="00054508" w:rsidP="00054508">
                  <w:pPr>
                    <w:spacing w:before="100" w:beforeAutospacing="1" w:after="100" w:afterAutospacing="1" w:line="240" w:lineRule="exact"/>
                    <w:ind w:firstLine="566"/>
                    <w:jc w:val="both"/>
                    <w:rPr>
                      <w:lang w:eastAsia="tr-TR"/>
                    </w:rPr>
                  </w:pPr>
                  <w:r w:rsidRPr="00521ABC">
                    <w:rPr>
                      <w:u w:val="single"/>
                      <w:lang w:eastAsia="tr-TR"/>
                    </w:rPr>
                    <w:t>Kamu Gözetimi, Muhasebe ve Denetim Standartları Kurumundan:</w:t>
                  </w:r>
                </w:p>
                <w:p w:rsidR="00054508" w:rsidRPr="00521ABC" w:rsidRDefault="00054508" w:rsidP="00054508">
                  <w:pPr>
                    <w:spacing w:before="56" w:after="170" w:line="240" w:lineRule="exact"/>
                    <w:jc w:val="both"/>
                    <w:rPr>
                      <w:lang w:eastAsia="tr-TR"/>
                    </w:rPr>
                  </w:pPr>
                  <w:r w:rsidRPr="00521ABC">
                    <w:rPr>
                      <w:lang w:eastAsia="tr-TR"/>
                    </w:rPr>
                    <w:t>KURUL KARARI</w:t>
                  </w:r>
                </w:p>
                <w:p w:rsidR="00054508" w:rsidRPr="00521ABC" w:rsidRDefault="00054508" w:rsidP="00054508">
                  <w:pPr>
                    <w:spacing w:before="100" w:beforeAutospacing="1" w:after="100" w:afterAutospacing="1" w:line="240" w:lineRule="exact"/>
                    <w:ind w:firstLine="566"/>
                    <w:jc w:val="both"/>
                    <w:rPr>
                      <w:lang w:eastAsia="tr-TR"/>
                    </w:rPr>
                  </w:pPr>
                  <w:r w:rsidRPr="00521ABC">
                    <w:rPr>
                      <w:b/>
                      <w:bCs/>
                      <w:lang w:eastAsia="tr-TR"/>
                    </w:rPr>
                    <w:t xml:space="preserve">Karar No: </w:t>
                  </w:r>
                  <w:r w:rsidRPr="003E52CF">
                    <w:rPr>
                      <w:lang w:eastAsia="tr-TR"/>
                    </w:rPr>
                    <w:t>75935942</w:t>
                  </w:r>
                  <w:r w:rsidRPr="00521ABC">
                    <w:rPr>
                      <w:lang w:eastAsia="tr-TR"/>
                    </w:rPr>
                    <w:t>-050.01.04 – [01/05]</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 xml:space="preserve">Toplantı Tarihi: </w:t>
                  </w:r>
                  <w:r w:rsidRPr="003E52CF">
                    <w:rPr>
                      <w:lang w:eastAsia="tr-TR"/>
                    </w:rPr>
                    <w:t>28/2/2013</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6102 sayılı Türk Ticaret Kanunu uyarınca </w:t>
                  </w:r>
                  <w:r w:rsidRPr="003E52CF">
                    <w:rPr>
                      <w:lang w:eastAsia="tr-TR"/>
                    </w:rPr>
                    <w:t>23/1/2013</w:t>
                  </w:r>
                  <w:r w:rsidRPr="00521ABC">
                    <w:rPr>
                      <w:lang w:eastAsia="tr-TR"/>
                    </w:rPr>
                    <w:t xml:space="preserve"> tarihli ve 28537 sayılı Resmî Gazete’de yayımlanan 2012/4213 sayılı “Bağımsız Denetime Tabi Olacak Şirketlerin Belirlenmesine ilişkin Bakanlar Kurulu Kararı”nın 4 üncü maddesinin altıncı fıkrasına dayanılarak hazırlanan “Bağımsız Denetime Tabi Olacak Şirketlerin Belirlenmesine Dair Bakanlar Kurulu Kararına İlişkin Usul ve </w:t>
                  </w:r>
                  <w:r w:rsidRPr="003E52CF">
                    <w:rPr>
                      <w:lang w:eastAsia="tr-TR"/>
                    </w:rPr>
                    <w:t>Esaslar”ın</w:t>
                  </w:r>
                  <w:r w:rsidRPr="00521ABC">
                    <w:rPr>
                      <w:lang w:eastAsia="tr-TR"/>
                    </w:rPr>
                    <w:t xml:space="preserve"> ekteki şekilde yayımlanmasına karar verilmiştir.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EK</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 </w:t>
                  </w:r>
                </w:p>
                <w:p w:rsidR="00054508" w:rsidRPr="00521ABC" w:rsidRDefault="00054508" w:rsidP="00054508">
                  <w:pPr>
                    <w:spacing w:before="100" w:beforeAutospacing="1" w:after="100" w:afterAutospacing="1" w:line="240" w:lineRule="exact"/>
                    <w:jc w:val="both"/>
                    <w:rPr>
                      <w:lang w:eastAsia="tr-TR"/>
                    </w:rPr>
                  </w:pPr>
                  <w:r w:rsidRPr="00521ABC">
                    <w:rPr>
                      <w:b/>
                      <w:lang w:eastAsia="tr-TR"/>
                    </w:rPr>
                    <w:t>BAĞIMSIZ DENETİME TABİ OLACAK ŞİRKETLERİN BELİRLENMESİNE</w:t>
                  </w:r>
                </w:p>
                <w:p w:rsidR="00054508" w:rsidRPr="00521ABC" w:rsidRDefault="00054508" w:rsidP="00054508">
                  <w:pPr>
                    <w:spacing w:before="100" w:beforeAutospacing="1" w:after="283" w:line="240" w:lineRule="exact"/>
                    <w:jc w:val="both"/>
                    <w:rPr>
                      <w:lang w:eastAsia="tr-TR"/>
                    </w:rPr>
                  </w:pPr>
                  <w:r w:rsidRPr="00521ABC">
                    <w:rPr>
                      <w:b/>
                      <w:lang w:eastAsia="tr-TR"/>
                    </w:rPr>
                    <w:t>DAİR BAKANLAR KURULU KARARINA İLİŞKİN USUL VE ESASLAR</w:t>
                  </w:r>
                </w:p>
                <w:p w:rsidR="00054508" w:rsidRPr="00521ABC" w:rsidRDefault="00054508" w:rsidP="00054508">
                  <w:pPr>
                    <w:spacing w:before="100" w:beforeAutospacing="1" w:after="100" w:afterAutospacing="1" w:line="240" w:lineRule="exact"/>
                    <w:jc w:val="both"/>
                    <w:rPr>
                      <w:lang w:eastAsia="tr-TR"/>
                    </w:rPr>
                  </w:pPr>
                  <w:r w:rsidRPr="00521ABC">
                    <w:rPr>
                      <w:lang w:eastAsia="tr-TR"/>
                    </w:rPr>
                    <w:t>BİRİNCİ BÖLÜM</w:t>
                  </w:r>
                </w:p>
                <w:p w:rsidR="00054508" w:rsidRPr="00521ABC" w:rsidRDefault="00054508" w:rsidP="00054508">
                  <w:pPr>
                    <w:spacing w:before="100" w:beforeAutospacing="1" w:after="85" w:line="240" w:lineRule="exact"/>
                    <w:jc w:val="both"/>
                    <w:rPr>
                      <w:lang w:eastAsia="tr-TR"/>
                    </w:rPr>
                  </w:pPr>
                  <w:r w:rsidRPr="00521ABC">
                    <w:rPr>
                      <w:lang w:eastAsia="tr-TR"/>
                    </w:rPr>
                    <w:t>Amaç, Kapsam, Dayanak ve Tanımlar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Amaç</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MADDE 1 –</w:t>
                  </w:r>
                  <w:r w:rsidRPr="00521ABC">
                    <w:rPr>
                      <w:lang w:eastAsia="tr-TR"/>
                    </w:rPr>
                    <w:t xml:space="preserve"> (1) Bu Usul ve Esasların amacı, </w:t>
                  </w:r>
                  <w:r w:rsidRPr="003E52CF">
                    <w:rPr>
                      <w:lang w:eastAsia="tr-TR"/>
                    </w:rPr>
                    <w:t>23/1/2013</w:t>
                  </w:r>
                  <w:r w:rsidRPr="00521ABC">
                    <w:rPr>
                      <w:lang w:eastAsia="tr-TR"/>
                    </w:rPr>
                    <w:t xml:space="preserve"> tarihli ve 28537 sayılı Resmî Gazete’de yayımlanan 2012/4213 sayılı Bağımsız Denetime Tabi Olacak Şirketlerin Belirlenmesine İlişkin Bakanlar Kurulu Kararının uygulanmasına yönelik usul ve esasları düzenlemektir.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Kapsam</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MADDE 2 –</w:t>
                  </w:r>
                  <w:r w:rsidRPr="00521ABC">
                    <w:rPr>
                      <w:lang w:eastAsia="tr-TR"/>
                    </w:rPr>
                    <w:t xml:space="preserve"> (1) Bu Usul ve Esaslar, 2012/4213 sayılı Bakanlar Kurulu Kararı çerçevesinde şirketlerin bağımsız denetime tabi olmasına, bağımsız denetimin kapsamından çıkmasına ve ilk uygulamaya ilişkin hususları kapsar.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Dayanak</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 xml:space="preserve">MADDE 3 – </w:t>
                  </w:r>
                  <w:r w:rsidRPr="00521ABC">
                    <w:rPr>
                      <w:lang w:eastAsia="tr-TR"/>
                    </w:rPr>
                    <w:t>(1) Bu Usul ve Esaslar, 2012/4213 sayılı Bakanlar Kurulu Kararının 4 üncü maddesinin altıncı fıkrasına dayanılarak hazırlanmıştır.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lastRenderedPageBreak/>
                    <w:t>Tanımlar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MADDE 4 –</w:t>
                  </w:r>
                  <w:r w:rsidRPr="00521ABC">
                    <w:rPr>
                      <w:lang w:eastAsia="tr-TR"/>
                    </w:rPr>
                    <w:t xml:space="preserve"> (1) Bu Usul ve Esaslardaki terimler 2012/4213 sayılı Bakanlar Kurulu Kararında yer alan anlamlarıyla kullanılmıştır. Ayrıca, bu Usul ve Esasların uygulanmasında;</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a) Bakanlar Kurulu Kararı: </w:t>
                  </w:r>
                  <w:r w:rsidRPr="003E52CF">
                    <w:rPr>
                      <w:lang w:eastAsia="tr-TR"/>
                    </w:rPr>
                    <w:t>23/1/2013</w:t>
                  </w:r>
                  <w:r w:rsidRPr="00521ABC">
                    <w:rPr>
                      <w:lang w:eastAsia="tr-TR"/>
                    </w:rPr>
                    <w:t xml:space="preserve"> tarihli ve 28537 sayılı Resmî Gazete’de yayımlanan 2012/4213 sayılı Bağımsız Denetime Tabi Olacak Şirketlerin Belirlenmesine ilişkin Bakanlar Kurulu Kararını,</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b) Denetim: Bağımsız denetimi,</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c) Kurum: Kamu Gözetimi, Muhasebe ve Denetim Standartları Kurumunu,</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ç) Türkiye Denetim Standartları (TDS): 26/9/2011 tarihli ve 660 sayılı Kanun Hükmünde Kararname uyarınca yürürlüğe konulan, bilgi sistemleri denetimi </w:t>
                  </w:r>
                  <w:r w:rsidRPr="003E52CF">
                    <w:rPr>
                      <w:lang w:eastAsia="tr-TR"/>
                    </w:rPr>
                    <w:t>dahil</w:t>
                  </w:r>
                  <w:r w:rsidRPr="00521ABC">
                    <w:rPr>
                      <w:lang w:eastAsia="tr-TR"/>
                    </w:rPr>
                    <w:t xml:space="preserve"> olmak üzere, denetim alanında uluslararası standartlarla uyumlu eğitim, etik, kalite kontrol ve denetim standartları ile bu alana ilişkin diğer düzenlemeleri,</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d) Türkiye Muhasebe Standartları (TMS): 660 sayılı Kanun Hükmünde Kararname uyarınca Kurul tarafından onaylanarak Türkiye Muhasebe Standardı ve Türkiye Finansal Raporlama Standardı adıyla yayımlanan muhasebe standartları ile bu alana ilişkin diğer düzenlemeleri,</w:t>
                  </w:r>
                </w:p>
                <w:p w:rsidR="00054508" w:rsidRPr="00521ABC" w:rsidRDefault="00054508" w:rsidP="00054508">
                  <w:pPr>
                    <w:spacing w:before="100" w:beforeAutospacing="1" w:after="100" w:afterAutospacing="1" w:line="240" w:lineRule="exact"/>
                    <w:ind w:firstLine="566"/>
                    <w:jc w:val="both"/>
                    <w:rPr>
                      <w:lang w:eastAsia="tr-TR"/>
                    </w:rPr>
                  </w:pPr>
                  <w:proofErr w:type="gramStart"/>
                  <w:r w:rsidRPr="003E52CF">
                    <w:rPr>
                      <w:lang w:eastAsia="tr-TR"/>
                    </w:rPr>
                    <w:t>ifade</w:t>
                  </w:r>
                  <w:proofErr w:type="gramEnd"/>
                  <w:r w:rsidRPr="00521ABC">
                    <w:rPr>
                      <w:lang w:eastAsia="tr-TR"/>
                    </w:rPr>
                    <w:t xml:space="preserve"> eder.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(2) Bağlı ortaklık ve iştirak kavramları, denetime tabi olunup olunmadığının belirlenmesinde esas alınan ve yürürlükteki mevzuat uyarınca hazırlanmış finansal tablolardaki anlamlarıyla dikkate alınır.</w:t>
                  </w:r>
                </w:p>
                <w:p w:rsidR="00054508" w:rsidRPr="00521ABC" w:rsidRDefault="00054508" w:rsidP="00054508">
                  <w:pPr>
                    <w:spacing w:before="56" w:after="100" w:afterAutospacing="1" w:line="240" w:lineRule="exact"/>
                    <w:jc w:val="both"/>
                    <w:rPr>
                      <w:lang w:eastAsia="tr-TR"/>
                    </w:rPr>
                  </w:pPr>
                  <w:r w:rsidRPr="00521ABC">
                    <w:rPr>
                      <w:lang w:eastAsia="tr-TR"/>
                    </w:rPr>
                    <w:t>İKİNCİ BÖLÜM</w:t>
                  </w:r>
                </w:p>
                <w:p w:rsidR="00054508" w:rsidRPr="00521ABC" w:rsidRDefault="00054508" w:rsidP="00054508">
                  <w:pPr>
                    <w:spacing w:before="100" w:beforeAutospacing="1" w:after="56" w:line="240" w:lineRule="exact"/>
                    <w:jc w:val="both"/>
                    <w:rPr>
                      <w:lang w:eastAsia="tr-TR"/>
                    </w:rPr>
                  </w:pPr>
                  <w:r w:rsidRPr="00521ABC">
                    <w:rPr>
                      <w:lang w:eastAsia="tr-TR"/>
                    </w:rPr>
                    <w:t>Denetime Tabi Olma</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Ölçütler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 xml:space="preserve">MADDE 5 – </w:t>
                  </w:r>
                  <w:r w:rsidRPr="00521ABC">
                    <w:rPr>
                      <w:lang w:eastAsia="tr-TR"/>
                    </w:rPr>
                    <w:t xml:space="preserve">(1) Şirketlerin denetime tabi olup olmadığının belirlenmesinde tek başına veya bağlı ortaklıkları ve iştirakleriyle birlikte aktif toplamına, yıllık net satış </w:t>
                  </w:r>
                  <w:r w:rsidRPr="003E52CF">
                    <w:rPr>
                      <w:lang w:eastAsia="tr-TR"/>
                    </w:rPr>
                    <w:t>hasılatına</w:t>
                  </w:r>
                  <w:r w:rsidRPr="00521ABC">
                    <w:rPr>
                      <w:lang w:eastAsia="tr-TR"/>
                    </w:rPr>
                    <w:t xml:space="preserve"> ve çalışan sayısına ilişkin genel ölçütler aşağıdaki gibi belirlenmiştir:</w:t>
                  </w:r>
                </w:p>
                <w:p w:rsidR="00054508" w:rsidRPr="00521ABC" w:rsidRDefault="00054508" w:rsidP="00054508">
                  <w:pPr>
                    <w:tabs>
                      <w:tab w:val="left" w:pos="566"/>
                      <w:tab w:val="left" w:pos="2381"/>
                      <w:tab w:val="left" w:pos="2494"/>
                    </w:tabs>
                    <w:spacing w:before="100" w:beforeAutospacing="1" w:after="100" w:afterAutospacing="1" w:line="240" w:lineRule="exact"/>
                    <w:ind w:firstLine="566"/>
                    <w:jc w:val="both"/>
                    <w:rPr>
                      <w:lang w:eastAsia="tr-TR"/>
                    </w:rPr>
                  </w:pPr>
                  <w:r w:rsidRPr="00521ABC">
                    <w:rPr>
                      <w:lang w:eastAsia="tr-TR"/>
                    </w:rPr>
                    <w:t>Aktif toplamı</w:t>
                  </w:r>
                  <w:r w:rsidRPr="00521ABC">
                    <w:rPr>
                      <w:lang w:eastAsia="tr-TR"/>
                    </w:rPr>
                    <w:tab/>
                  </w:r>
                  <w:r w:rsidRPr="003E52CF">
                    <w:rPr>
                      <w:lang w:eastAsia="tr-TR"/>
                    </w:rPr>
                    <w:t xml:space="preserve">        </w:t>
                  </w:r>
                  <w:r w:rsidRPr="00521ABC">
                    <w:rPr>
                      <w:lang w:eastAsia="tr-TR"/>
                    </w:rPr>
                    <w:t>:</w:t>
                  </w:r>
                  <w:r w:rsidRPr="00521ABC">
                    <w:rPr>
                      <w:lang w:eastAsia="tr-TR"/>
                    </w:rPr>
                    <w:tab/>
                    <w:t>150 milyon TL ve üzeri</w:t>
                  </w:r>
                </w:p>
                <w:p w:rsidR="00054508" w:rsidRPr="00521ABC" w:rsidRDefault="00054508" w:rsidP="00054508">
                  <w:pPr>
                    <w:tabs>
                      <w:tab w:val="left" w:pos="566"/>
                      <w:tab w:val="left" w:pos="2381"/>
                      <w:tab w:val="left" w:pos="2494"/>
                    </w:tabs>
                    <w:spacing w:before="100" w:beforeAutospacing="1" w:after="100" w:afterAutospacing="1" w:line="240" w:lineRule="exact"/>
                    <w:ind w:firstLine="566"/>
                    <w:jc w:val="both"/>
                    <w:rPr>
                      <w:lang w:eastAsia="tr-TR"/>
                    </w:rPr>
                  </w:pPr>
                  <w:r w:rsidRPr="00521ABC">
                    <w:rPr>
                      <w:lang w:eastAsia="tr-TR"/>
                    </w:rPr>
                    <w:t xml:space="preserve">Yıllık net satış </w:t>
                  </w:r>
                  <w:r w:rsidRPr="003E52CF">
                    <w:rPr>
                      <w:lang w:eastAsia="tr-TR"/>
                    </w:rPr>
                    <w:t>hasılatı</w:t>
                  </w:r>
                  <w:r w:rsidRPr="00521ABC">
                    <w:rPr>
                      <w:lang w:eastAsia="tr-TR"/>
                    </w:rPr>
                    <w:tab/>
                    <w:t>:</w:t>
                  </w:r>
                  <w:r w:rsidRPr="00521ABC">
                    <w:rPr>
                      <w:lang w:eastAsia="tr-TR"/>
                    </w:rPr>
                    <w:tab/>
                    <w:t>200 milyon TL ve üzeri</w:t>
                  </w:r>
                </w:p>
                <w:p w:rsidR="00054508" w:rsidRPr="00521ABC" w:rsidRDefault="00054508" w:rsidP="00054508">
                  <w:pPr>
                    <w:tabs>
                      <w:tab w:val="left" w:pos="566"/>
                      <w:tab w:val="left" w:pos="2381"/>
                      <w:tab w:val="left" w:pos="2494"/>
                    </w:tabs>
                    <w:spacing w:before="100" w:beforeAutospacing="1" w:after="100" w:afterAutospacing="1" w:line="240" w:lineRule="exact"/>
                    <w:ind w:firstLine="566"/>
                    <w:jc w:val="both"/>
                    <w:rPr>
                      <w:lang w:eastAsia="tr-TR"/>
                    </w:rPr>
                  </w:pPr>
                  <w:r w:rsidRPr="00521ABC">
                    <w:rPr>
                      <w:lang w:eastAsia="tr-TR"/>
                    </w:rPr>
                    <w:t>Çalışan sayısı</w:t>
                  </w:r>
                  <w:r w:rsidRPr="00521ABC">
                    <w:rPr>
                      <w:lang w:eastAsia="tr-TR"/>
                    </w:rPr>
                    <w:tab/>
                  </w:r>
                  <w:r w:rsidRPr="003E52CF">
                    <w:rPr>
                      <w:lang w:eastAsia="tr-TR"/>
                    </w:rPr>
                    <w:t xml:space="preserve">       </w:t>
                  </w:r>
                  <w:r w:rsidRPr="00521ABC">
                    <w:rPr>
                      <w:lang w:eastAsia="tr-TR"/>
                    </w:rPr>
                    <w:t>:</w:t>
                  </w:r>
                  <w:r w:rsidR="00A54009">
                    <w:rPr>
                      <w:lang w:eastAsia="tr-TR"/>
                    </w:rPr>
                    <w:t xml:space="preserve">  </w:t>
                  </w:r>
                  <w:bookmarkStart w:id="0" w:name="_GoBack"/>
                  <w:bookmarkEnd w:id="0"/>
                  <w:r w:rsidRPr="00521ABC">
                    <w:rPr>
                      <w:lang w:eastAsia="tr-TR"/>
                    </w:rPr>
                    <w:tab/>
                    <w:t>500 çalışan ve üzeri</w:t>
                  </w:r>
                </w:p>
                <w:p w:rsidR="00054508" w:rsidRPr="003E52CF" w:rsidRDefault="00054508" w:rsidP="00054508">
                  <w:pPr>
                    <w:spacing w:before="100" w:beforeAutospacing="1" w:after="100" w:afterAutospacing="1" w:line="240" w:lineRule="exact"/>
                    <w:ind w:firstLine="566"/>
                    <w:jc w:val="both"/>
                    <w:rPr>
                      <w:lang w:eastAsia="tr-TR"/>
                    </w:rPr>
                  </w:pPr>
                  <w:r w:rsidRPr="00521ABC">
                    <w:rPr>
                      <w:lang w:eastAsia="tr-TR"/>
                    </w:rPr>
                    <w:t>(2) Bakanlar Kurulu Kararına göre şirketlerin denetime tabi olması için yukarıda belirtilen üç ölçütten ikisini üst üste iki hesap dönemi sağlaması gerekir. Birbirini takip eden hesap dönemlerinde sağlanan iki ölçütün aynı ölçütler olması şart değildir. Aşağıdaki tabloda örnek bir şirket için hesap dönemleri itibarıyla ölçütlerin sağlanması ve denetime tabi olma durumu gösterilmiştir:</w:t>
                  </w:r>
                </w:p>
                <w:p w:rsidR="00054508" w:rsidRPr="003E52CF" w:rsidRDefault="00054508" w:rsidP="00054508">
                  <w:pPr>
                    <w:spacing w:before="100" w:beforeAutospacing="1" w:after="100" w:afterAutospacing="1" w:line="240" w:lineRule="exact"/>
                    <w:ind w:firstLine="566"/>
                    <w:jc w:val="both"/>
                    <w:rPr>
                      <w:lang w:eastAsia="tr-TR"/>
                    </w:rPr>
                  </w:pPr>
                </w:p>
                <w:p w:rsidR="00054508" w:rsidRPr="003E52CF" w:rsidRDefault="00054508" w:rsidP="00054508">
                  <w:pPr>
                    <w:spacing w:before="100" w:beforeAutospacing="1" w:after="100" w:afterAutospacing="1" w:line="240" w:lineRule="exact"/>
                    <w:ind w:firstLine="566"/>
                    <w:jc w:val="both"/>
                    <w:rPr>
                      <w:lang w:eastAsia="tr-TR"/>
                    </w:rPr>
                  </w:pPr>
                </w:p>
                <w:p w:rsidR="00054508" w:rsidRPr="00521ABC" w:rsidRDefault="00054508" w:rsidP="00054508">
                  <w:pPr>
                    <w:spacing w:before="100" w:beforeAutospacing="1" w:after="100" w:afterAutospacing="1" w:line="240" w:lineRule="exact"/>
                    <w:ind w:firstLine="566"/>
                    <w:jc w:val="both"/>
                    <w:rPr>
                      <w:lang w:eastAsia="tr-TR"/>
                    </w:rPr>
                  </w:pPr>
                </w:p>
                <w:p w:rsidR="00054508" w:rsidRPr="00521ABC" w:rsidRDefault="00054508" w:rsidP="00054508">
                  <w:pPr>
                    <w:spacing w:before="100" w:beforeAutospacing="1" w:after="100" w:afterAutospacing="1" w:line="240" w:lineRule="exact"/>
                    <w:jc w:val="both"/>
                    <w:rPr>
                      <w:lang w:eastAsia="tr-TR"/>
                    </w:rPr>
                  </w:pPr>
                  <w:r w:rsidRPr="00521ABC">
                    <w:rPr>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1221"/>
                    <w:gridCol w:w="1208"/>
                    <w:gridCol w:w="1214"/>
                    <w:gridCol w:w="1530"/>
                    <w:gridCol w:w="1605"/>
                  </w:tblGrid>
                  <w:tr w:rsidR="00054508" w:rsidRPr="003E52CF" w:rsidTr="009D5B08">
                    <w:trPr>
                      <w:jc w:val="center"/>
                    </w:trPr>
                    <w:tc>
                      <w:tcPr>
                        <w:tcW w:w="1843" w:type="dxa"/>
                        <w:tcBorders>
                          <w:top w:val="single" w:sz="4" w:space="0" w:color="auto"/>
                          <w:left w:val="single" w:sz="4" w:space="5" w:color="auto"/>
                          <w:bottom w:val="single" w:sz="4" w:space="0" w:color="auto"/>
                          <w:right w:val="single" w:sz="4" w:space="5" w:color="auto"/>
                        </w:tcBorders>
                        <w:vAlign w:val="center"/>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Hesap dönemleri</w:t>
                        </w:r>
                      </w:p>
                    </w:tc>
                    <w:tc>
                      <w:tcPr>
                        <w:tcW w:w="1277"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Bilanço aktif toplamı 150 milyon TL veya üzeri midir?</w:t>
                        </w:r>
                      </w:p>
                    </w:tc>
                    <w:tc>
                      <w:tcPr>
                        <w:tcW w:w="1273"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 xml:space="preserve">Yıllık net satış </w:t>
                        </w:r>
                        <w:r w:rsidRPr="003E52CF">
                          <w:rPr>
                            <w:lang w:eastAsia="tr-TR"/>
                          </w:rPr>
                          <w:t>hasılatı</w:t>
                        </w:r>
                        <w:r w:rsidRPr="00521ABC">
                          <w:rPr>
                            <w:lang w:eastAsia="tr-TR"/>
                          </w:rPr>
                          <w:t xml:space="preserve"> 200 milyon TL veya üzeri midir?</w:t>
                        </w:r>
                      </w:p>
                    </w:tc>
                    <w:tc>
                      <w:tcPr>
                        <w:tcW w:w="1275" w:type="dxa"/>
                        <w:tcBorders>
                          <w:top w:val="single" w:sz="4" w:space="0" w:color="auto"/>
                          <w:left w:val="single" w:sz="4" w:space="5" w:color="auto"/>
                          <w:bottom w:val="single" w:sz="4" w:space="0" w:color="auto"/>
                          <w:right w:val="single" w:sz="4" w:space="5" w:color="auto"/>
                        </w:tcBorders>
                        <w:vAlign w:val="center"/>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Çalışan sayısı 500 veya üzeri midir?</w:t>
                        </w:r>
                      </w:p>
                    </w:tc>
                    <w:tc>
                      <w:tcPr>
                        <w:tcW w:w="1561" w:type="dxa"/>
                        <w:tcBorders>
                          <w:top w:val="single" w:sz="4" w:space="0" w:color="auto"/>
                          <w:left w:val="single" w:sz="4" w:space="5" w:color="auto"/>
                          <w:bottom w:val="single" w:sz="4" w:space="0" w:color="auto"/>
                          <w:right w:val="single" w:sz="4" w:space="5" w:color="auto"/>
                        </w:tcBorders>
                        <w:vAlign w:val="center"/>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Kriterlerden en az ikisini sağlıyor mu?</w:t>
                        </w:r>
                      </w:p>
                    </w:tc>
                    <w:tc>
                      <w:tcPr>
                        <w:tcW w:w="1704" w:type="dxa"/>
                        <w:tcBorders>
                          <w:top w:val="single" w:sz="4" w:space="0" w:color="auto"/>
                          <w:left w:val="single" w:sz="4" w:space="5" w:color="auto"/>
                          <w:bottom w:val="single" w:sz="4" w:space="0" w:color="auto"/>
                          <w:right w:val="single" w:sz="4" w:space="5" w:color="auto"/>
                        </w:tcBorders>
                        <w:vAlign w:val="center"/>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Denetime tabi midir?</w:t>
                        </w:r>
                      </w:p>
                    </w:tc>
                  </w:tr>
                  <w:tr w:rsidR="00054508" w:rsidRPr="003E52CF" w:rsidTr="009D5B08">
                    <w:trPr>
                      <w:jc w:val="center"/>
                    </w:trPr>
                    <w:tc>
                      <w:tcPr>
                        <w:tcW w:w="1843"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1/1-31/12 2011</w:t>
                        </w:r>
                      </w:p>
                    </w:tc>
                    <w:tc>
                      <w:tcPr>
                        <w:tcW w:w="1277"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Evet</w:t>
                        </w:r>
                      </w:p>
                    </w:tc>
                    <w:tc>
                      <w:tcPr>
                        <w:tcW w:w="1273"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Hayır</w:t>
                        </w:r>
                      </w:p>
                    </w:tc>
                    <w:tc>
                      <w:tcPr>
                        <w:tcW w:w="1275"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Hayır</w:t>
                        </w:r>
                      </w:p>
                    </w:tc>
                    <w:tc>
                      <w:tcPr>
                        <w:tcW w:w="1561"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Sağlamıyor</w:t>
                        </w:r>
                      </w:p>
                    </w:tc>
                    <w:tc>
                      <w:tcPr>
                        <w:tcW w:w="1704"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Referans yıl</w:t>
                        </w:r>
                      </w:p>
                    </w:tc>
                  </w:tr>
                  <w:tr w:rsidR="00054508" w:rsidRPr="003E52CF" w:rsidTr="009D5B08">
                    <w:trPr>
                      <w:jc w:val="center"/>
                    </w:trPr>
                    <w:tc>
                      <w:tcPr>
                        <w:tcW w:w="1843"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1/1-31/12 2012</w:t>
                        </w:r>
                      </w:p>
                    </w:tc>
                    <w:tc>
                      <w:tcPr>
                        <w:tcW w:w="1277" w:type="dxa"/>
                        <w:tcBorders>
                          <w:top w:val="single" w:sz="4" w:space="0" w:color="auto"/>
                          <w:left w:val="single" w:sz="4" w:space="5" w:color="auto"/>
                          <w:bottom w:val="single" w:sz="4" w:space="0" w:color="auto"/>
                          <w:right w:val="single" w:sz="4" w:space="5" w:color="auto"/>
                        </w:tcBorders>
                        <w:shd w:val="clear" w:color="auto" w:fill="FFFFFF"/>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Evet</w:t>
                        </w:r>
                      </w:p>
                    </w:tc>
                    <w:tc>
                      <w:tcPr>
                        <w:tcW w:w="1273" w:type="dxa"/>
                        <w:tcBorders>
                          <w:top w:val="single" w:sz="4" w:space="0" w:color="auto"/>
                          <w:left w:val="single" w:sz="4" w:space="5" w:color="auto"/>
                          <w:bottom w:val="single" w:sz="4" w:space="0" w:color="auto"/>
                          <w:right w:val="single" w:sz="4" w:space="5" w:color="auto"/>
                        </w:tcBorders>
                        <w:shd w:val="clear" w:color="auto" w:fill="FFFFFF"/>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Evet</w:t>
                        </w:r>
                      </w:p>
                    </w:tc>
                    <w:tc>
                      <w:tcPr>
                        <w:tcW w:w="1275"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Hayır</w:t>
                        </w:r>
                      </w:p>
                    </w:tc>
                    <w:tc>
                      <w:tcPr>
                        <w:tcW w:w="1561"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Sağlıyor</w:t>
                        </w:r>
                      </w:p>
                    </w:tc>
                    <w:tc>
                      <w:tcPr>
                        <w:tcW w:w="1704"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Referans yıl</w:t>
                        </w:r>
                      </w:p>
                    </w:tc>
                  </w:tr>
                  <w:tr w:rsidR="00054508" w:rsidRPr="003E52CF" w:rsidTr="009D5B08">
                    <w:trPr>
                      <w:jc w:val="center"/>
                    </w:trPr>
                    <w:tc>
                      <w:tcPr>
                        <w:tcW w:w="1843"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1/1-31/12 2013</w:t>
                        </w:r>
                      </w:p>
                    </w:tc>
                    <w:tc>
                      <w:tcPr>
                        <w:tcW w:w="1277" w:type="dxa"/>
                        <w:tcBorders>
                          <w:top w:val="single" w:sz="4" w:space="0" w:color="auto"/>
                          <w:left w:val="single" w:sz="4" w:space="5" w:color="auto"/>
                          <w:bottom w:val="single" w:sz="4" w:space="0" w:color="auto"/>
                          <w:right w:val="single" w:sz="4" w:space="5" w:color="auto"/>
                        </w:tcBorders>
                        <w:shd w:val="clear" w:color="auto" w:fill="FFFFFF"/>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Evet</w:t>
                        </w:r>
                      </w:p>
                    </w:tc>
                    <w:tc>
                      <w:tcPr>
                        <w:tcW w:w="1273"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Hayır</w:t>
                        </w:r>
                      </w:p>
                    </w:tc>
                    <w:tc>
                      <w:tcPr>
                        <w:tcW w:w="1275"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Evet</w:t>
                        </w:r>
                      </w:p>
                    </w:tc>
                    <w:tc>
                      <w:tcPr>
                        <w:tcW w:w="1561"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Sağlıyor</w:t>
                        </w:r>
                      </w:p>
                    </w:tc>
                    <w:tc>
                      <w:tcPr>
                        <w:tcW w:w="1704"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Tabi değildir</w:t>
                        </w:r>
                      </w:p>
                    </w:tc>
                  </w:tr>
                  <w:tr w:rsidR="00054508" w:rsidRPr="003E52CF" w:rsidTr="009D5B08">
                    <w:trPr>
                      <w:jc w:val="center"/>
                    </w:trPr>
                    <w:tc>
                      <w:tcPr>
                        <w:tcW w:w="1843"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1/1-31/12 2014</w:t>
                        </w:r>
                        <w:r w:rsidRPr="00521ABC">
                          <w:rPr>
                            <w:vertAlign w:val="superscript"/>
                            <w:lang w:eastAsia="tr-TR"/>
                          </w:rPr>
                          <w:t>*</w:t>
                        </w:r>
                      </w:p>
                    </w:tc>
                    <w:tc>
                      <w:tcPr>
                        <w:tcW w:w="1277"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Hayır</w:t>
                        </w:r>
                      </w:p>
                    </w:tc>
                    <w:tc>
                      <w:tcPr>
                        <w:tcW w:w="1273"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Hayır</w:t>
                        </w:r>
                      </w:p>
                    </w:tc>
                    <w:tc>
                      <w:tcPr>
                        <w:tcW w:w="1275"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Evet</w:t>
                        </w:r>
                      </w:p>
                    </w:tc>
                    <w:tc>
                      <w:tcPr>
                        <w:tcW w:w="1561"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Sağlamıyor</w:t>
                        </w:r>
                      </w:p>
                    </w:tc>
                    <w:tc>
                      <w:tcPr>
                        <w:tcW w:w="1704"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Tabidir</w:t>
                        </w:r>
                      </w:p>
                    </w:tc>
                  </w:tr>
                  <w:tr w:rsidR="00054508" w:rsidRPr="003E52CF" w:rsidTr="009D5B08">
                    <w:trPr>
                      <w:jc w:val="center"/>
                    </w:trPr>
                    <w:tc>
                      <w:tcPr>
                        <w:tcW w:w="1843"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1/1-31/12 2015</w:t>
                        </w:r>
                      </w:p>
                    </w:tc>
                    <w:tc>
                      <w:tcPr>
                        <w:tcW w:w="1277"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Hayır</w:t>
                        </w:r>
                      </w:p>
                    </w:tc>
                    <w:tc>
                      <w:tcPr>
                        <w:tcW w:w="1273"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Hayır</w:t>
                        </w:r>
                      </w:p>
                    </w:tc>
                    <w:tc>
                      <w:tcPr>
                        <w:tcW w:w="1275"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Evet</w:t>
                        </w:r>
                      </w:p>
                    </w:tc>
                    <w:tc>
                      <w:tcPr>
                        <w:tcW w:w="1561"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Sağlamıyor</w:t>
                        </w:r>
                      </w:p>
                    </w:tc>
                    <w:tc>
                      <w:tcPr>
                        <w:tcW w:w="1704"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Tabidir</w:t>
                        </w:r>
                      </w:p>
                    </w:tc>
                  </w:tr>
                  <w:tr w:rsidR="00054508" w:rsidRPr="003E52CF" w:rsidTr="009D5B08">
                    <w:trPr>
                      <w:jc w:val="center"/>
                    </w:trPr>
                    <w:tc>
                      <w:tcPr>
                        <w:tcW w:w="1843"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1/1-31/12 2016</w:t>
                        </w:r>
                      </w:p>
                    </w:tc>
                    <w:tc>
                      <w:tcPr>
                        <w:tcW w:w="1277"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Evet</w:t>
                        </w:r>
                      </w:p>
                    </w:tc>
                    <w:tc>
                      <w:tcPr>
                        <w:tcW w:w="1273"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Hayır</w:t>
                        </w:r>
                      </w:p>
                    </w:tc>
                    <w:tc>
                      <w:tcPr>
                        <w:tcW w:w="1275"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Evet</w:t>
                        </w:r>
                      </w:p>
                    </w:tc>
                    <w:tc>
                      <w:tcPr>
                        <w:tcW w:w="1561"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Sağlıyor</w:t>
                        </w:r>
                      </w:p>
                    </w:tc>
                    <w:tc>
                      <w:tcPr>
                        <w:tcW w:w="1704" w:type="dxa"/>
                        <w:tcBorders>
                          <w:top w:val="single" w:sz="4" w:space="0" w:color="auto"/>
                          <w:left w:val="single" w:sz="4" w:space="5" w:color="auto"/>
                          <w:bottom w:val="single" w:sz="4" w:space="0" w:color="auto"/>
                          <w:right w:val="single" w:sz="4" w:space="5"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Tabi değildir</w:t>
                        </w:r>
                      </w:p>
                    </w:tc>
                  </w:tr>
                </w:tbl>
                <w:p w:rsidR="00054508" w:rsidRPr="00521ABC" w:rsidRDefault="00054508" w:rsidP="00054508">
                  <w:pPr>
                    <w:keepNext/>
                    <w:spacing w:line="20" w:lineRule="atLeast"/>
                    <w:ind w:left="426" w:hanging="284"/>
                    <w:contextualSpacing/>
                    <w:jc w:val="both"/>
                    <w:rPr>
                      <w:lang w:eastAsia="tr-TR"/>
                    </w:rPr>
                  </w:pPr>
                  <w:r w:rsidRPr="00521ABC">
                    <w:rPr>
                      <w:i/>
                      <w:lang w:eastAsia="tr-TR"/>
                    </w:rPr>
                    <w:t xml:space="preserve">* </w:t>
                  </w:r>
                  <w:r w:rsidRPr="00521ABC">
                    <w:rPr>
                      <w:i/>
                      <w:lang w:eastAsia="tr-TR"/>
                    </w:rPr>
                    <w:tab/>
                  </w:r>
                  <w:r w:rsidRPr="003E52CF">
                    <w:rPr>
                      <w:i/>
                      <w:lang w:eastAsia="tr-TR"/>
                    </w:rPr>
                    <w:t>31/12/2014</w:t>
                  </w:r>
                  <w:r w:rsidRPr="00521ABC">
                    <w:rPr>
                      <w:i/>
                      <w:lang w:eastAsia="tr-TR"/>
                    </w:rPr>
                    <w:t xml:space="preserve"> tarihinde sona eren hesap döneminde ölçütlerden en az ikisinin sınırlarının yüzde yirmi veya daha fazla altında kalınmadığı varsayılmıştır.</w:t>
                  </w:r>
                  <w:r w:rsidRPr="00521ABC">
                    <w:rPr>
                      <w:lang w:eastAsia="tr-TR"/>
                    </w:rPr>
                    <w:t xml:space="preserve"> </w:t>
                  </w:r>
                </w:p>
                <w:p w:rsidR="00054508" w:rsidRPr="00521ABC" w:rsidRDefault="00054508" w:rsidP="00054508">
                  <w:pPr>
                    <w:spacing w:before="100" w:beforeAutospacing="1" w:after="100" w:afterAutospacing="1" w:line="240" w:lineRule="exact"/>
                    <w:jc w:val="both"/>
                    <w:rPr>
                      <w:lang w:eastAsia="tr-TR"/>
                    </w:rPr>
                  </w:pPr>
                  <w:r w:rsidRPr="00521ABC">
                    <w:rPr>
                      <w:lang w:eastAsia="tr-TR"/>
                    </w:rPr>
                    <w:t> (3) Bakanlar Kurulu Kararına ekli (II) sayılı listede belirtilen alanlarda faaliyet gösteren şirketler aynı listede yer verilen ölçütler dikkate alınmak suretiyle denetime tabidir. Ölçütlerin söz konusu listede belirtilen sınırlamalar çerçevesinde aşılıp aşılmadığının belirlenmesinde ikinci fıkradaki usul uygulanır.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(4) Bakanlar Kurulu Kararına ekli (I) sayılı listede belirtilen alanlarda faaliyet gösteren şirketler ise herhangi bir ölçüt şartı aranmaksızın denetime tabidir.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(5) Denetim, şirketin </w:t>
                  </w:r>
                  <w:r w:rsidRPr="003E52CF">
                    <w:rPr>
                      <w:lang w:eastAsia="tr-TR"/>
                    </w:rPr>
                    <w:t>konsolide</w:t>
                  </w:r>
                  <w:r w:rsidRPr="00521ABC">
                    <w:rPr>
                      <w:lang w:eastAsia="tr-TR"/>
                    </w:rPr>
                    <w:t xml:space="preserve"> finansal tablolarının yanında münferit finansal tablolarını da içerir.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(6) Bakanlar Kurulu Kararı uyarınca denetime tabi olma şartlarını taşımayan bir şirket, sadece ana ortaklığının, bağlı ortaklığının veya iştirakinin Bakanlar Kurulu Kararı kapsamında denetime tabi olması nedeniyle denetime tabi olmaz. Bu durum, topluluk denetçisinin </w:t>
                  </w:r>
                  <w:r w:rsidRPr="003E52CF">
                    <w:rPr>
                      <w:lang w:eastAsia="tr-TR"/>
                    </w:rPr>
                    <w:t>konsolide</w:t>
                  </w:r>
                  <w:r w:rsidRPr="00521ABC">
                    <w:rPr>
                      <w:lang w:eastAsia="tr-TR"/>
                    </w:rPr>
                    <w:t xml:space="preserve"> finansal tabloların denetimine ilişkin 13/1/2011 tarihli ve 6102 sayılı Türk Ticaret Kanunu ve TDS çerçevesindeki yükümlülüklerini ortadan kaldırmaz.</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Esas alınacak finansal tablolar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MADDE 6 –</w:t>
                  </w:r>
                  <w:r w:rsidRPr="00521ABC">
                    <w:rPr>
                      <w:lang w:eastAsia="tr-TR"/>
                    </w:rPr>
                    <w:t xml:space="preserve"> (1) Denetime tabi olunup olunmadığının belirlenmesinde, şirketler ile bu şirketlerin bağlı ortaklıkları ve iştiraklerinin aktif toplamı ve yıllık net satış </w:t>
                  </w:r>
                  <w:r w:rsidRPr="003E52CF">
                    <w:rPr>
                      <w:lang w:eastAsia="tr-TR"/>
                    </w:rPr>
                    <w:t>hasılatı</w:t>
                  </w:r>
                  <w:r w:rsidRPr="00521ABC">
                    <w:rPr>
                      <w:lang w:eastAsia="tr-TR"/>
                    </w:rPr>
                    <w:t xml:space="preserve"> hesaplanırken vergi mevzuatı çerçevesinde kamu idarelerine sunulmak üzere hazırlanan son iki hesap dönemine ilişkin bilanço ve gelir tablosu dikkate alınır. Denetim kapsamına girildikten sonra 11 inci madde hükmü uygulanır. Yurtdışında bulunan bağlı ortaklık ve iştiraklerinin, varsa denetimden geçmiş uluslararası muhasebe standartlarına uygun finansal tabloları, olmaması halinde tabi oldukları mevzuat uyarınca hazırladıkları finansal tabloları dikkate alınır.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 xml:space="preserve">Aktif toplamı ve yıllık net satış </w:t>
                  </w:r>
                  <w:r w:rsidRPr="003E52CF">
                    <w:rPr>
                      <w:b/>
                      <w:lang w:eastAsia="tr-TR"/>
                    </w:rPr>
                    <w:t>hasılatının</w:t>
                  </w:r>
                  <w:r w:rsidRPr="00521ABC">
                    <w:rPr>
                      <w:b/>
                      <w:lang w:eastAsia="tr-TR"/>
                    </w:rPr>
                    <w:t xml:space="preserve"> hesaplanması</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 xml:space="preserve">MADDE 7 – </w:t>
                  </w:r>
                  <w:r w:rsidRPr="00521ABC">
                    <w:rPr>
                      <w:lang w:eastAsia="tr-TR"/>
                    </w:rPr>
                    <w:t xml:space="preserve">(1) Aktif toplamı ve yıllık net satış </w:t>
                  </w:r>
                  <w:r w:rsidRPr="003E52CF">
                    <w:rPr>
                      <w:lang w:eastAsia="tr-TR"/>
                    </w:rPr>
                    <w:t>hasılatının</w:t>
                  </w:r>
                  <w:r w:rsidRPr="00521ABC">
                    <w:rPr>
                      <w:lang w:eastAsia="tr-TR"/>
                    </w:rPr>
                    <w:t xml:space="preserve"> hesabında, 6 </w:t>
                  </w:r>
                  <w:r w:rsidRPr="003E52CF">
                    <w:rPr>
                      <w:lang w:eastAsia="tr-TR"/>
                    </w:rPr>
                    <w:t>ncı</w:t>
                  </w:r>
                  <w:r w:rsidRPr="00521ABC">
                    <w:rPr>
                      <w:lang w:eastAsia="tr-TR"/>
                    </w:rPr>
                    <w:t xml:space="preserve"> maddede belirtilen finansal tablolar çerçevesinde, varsa şirketin bağlı ortaklıklarının ve iştiraklerinin aktif toplamı ve yıllık net satış hasılatı da dikkate alınır.</w:t>
                  </w:r>
                </w:p>
                <w:p w:rsidR="00054508" w:rsidRDefault="00054508" w:rsidP="00054508">
                  <w:pPr>
                    <w:spacing w:before="100" w:beforeAutospacing="1" w:after="100" w:afterAutospacing="1" w:line="240" w:lineRule="exact"/>
                    <w:ind w:firstLine="566"/>
                    <w:jc w:val="both"/>
                    <w:rPr>
                      <w:lang w:eastAsia="tr-TR"/>
                    </w:rPr>
                  </w:pP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(2) Bağlı ortaklıkları veya iştirakleri bulunan şirketlerin aktif toplamı ve yıllık net satış </w:t>
                  </w:r>
                  <w:r w:rsidRPr="003E52CF">
                    <w:rPr>
                      <w:lang w:eastAsia="tr-TR"/>
                    </w:rPr>
                    <w:t>hasılatı</w:t>
                  </w:r>
                  <w:r w:rsidRPr="00521ABC">
                    <w:rPr>
                      <w:lang w:eastAsia="tr-TR"/>
                    </w:rPr>
                    <w:t xml:space="preserve"> tutarının hesabında aşağıdaki işlemler yapılır: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a) Aktif toplamının hesabında, şirketin kendi aktif toplamından, bağlı ortaklıklarının ve iştiraklerinin kayıtlı değerleri çıkarılır. Bulunan tutara, bağlı ortaklıklarının aktif toplamının tamamı ve iştiraklerinin aktif toplamından kendi iştirak hissesi payına düşen kısmı eklenir.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b) Yıllık net satış </w:t>
                  </w:r>
                  <w:r w:rsidRPr="003E52CF">
                    <w:rPr>
                      <w:lang w:eastAsia="tr-TR"/>
                    </w:rPr>
                    <w:t>hasılatının</w:t>
                  </w:r>
                  <w:r w:rsidRPr="00521ABC">
                    <w:rPr>
                      <w:lang w:eastAsia="tr-TR"/>
                    </w:rPr>
                    <w:t xml:space="preserve"> hesabında, şirketin kendi yıllık net satış hasılatına bağlı ortaklıklarının yıllık net satış hasılatının tamamı, iştiraklerinin yıllık net satış hasılatından kendi iştirak hissesi payına düşen kısmı eklenir.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c) Grup içi işlemlerden doğan varlık, borç, gelir ve giderlerden, bağlı ortaklıklarla olanların tamamı, şirketin ve bağlı ortaklıkların doğrudan iştirakleriyle olanlarının ise hisselerine düşen payı elimine edilir. Grup içi işlemlerin kısmen veya tamamen elimine edilmesi ihtiyaridir.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(3) Şirketlerin bağlı ortaklıkları aracılığıyla dolaylı olarak sahip oldukları bağlı ortaklıklar ve iştirakler de şirketin bağlı ortaklığı ve iştiraki olarak değerlendirilir.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Örneğin; A Şirketinin B Şirketinde %70, B Şirketinin ise C ve D Şirketlerinde sırasıyla %60 ve %15 oranlarında oy hakkına sahip olduğu durumda, A Şirketi aktif toplamını ve yıllık net satış </w:t>
                  </w:r>
                  <w:r w:rsidRPr="003E52CF">
                    <w:rPr>
                      <w:lang w:eastAsia="tr-TR"/>
                    </w:rPr>
                    <w:t>hasılatını</w:t>
                  </w:r>
                  <w:r w:rsidRPr="00521ABC">
                    <w:rPr>
                      <w:lang w:eastAsia="tr-TR"/>
                    </w:rPr>
                    <w:t xml:space="preserve"> hesaplarken, C Şirketini bağlı ortaklığı, D Şirketini de %15 oranında oy hakkına sahip olduğu iştiraki olarak değerlendirir.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(4) Şirketlerin veya bağlı ortaklıkların iştiraklerinin sahip olduğu bağlı ortaklıklar ve iştirakler, ilgili iştirakin finansal tablolarındaki değerleri üzerinden dikkate alınır. Bu sebeple, şirketin veya bağlı ortaklıkların iştiraklerinin bağlı ortaklıkları ve iştirakleri </w:t>
                  </w:r>
                  <w:r w:rsidRPr="003E52CF">
                    <w:rPr>
                      <w:lang w:eastAsia="tr-TR"/>
                    </w:rPr>
                    <w:t>eliminasyon</w:t>
                  </w:r>
                  <w:r w:rsidRPr="00521ABC">
                    <w:rPr>
                      <w:lang w:eastAsia="tr-TR"/>
                    </w:rPr>
                    <w:t xml:space="preserve"> işlemlerine dahil edilmez.</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Örneğin; A Şirketinin B Şirketinde %40, B Şirketinin ise C ve D Şirketlerinde sırasıyla %60 ve %15 oranlarında oy hakkına sahip olduğu durumda, A Şirketi aktif toplamını ve yıllık net satış </w:t>
                  </w:r>
                  <w:r w:rsidRPr="003E52CF">
                    <w:rPr>
                      <w:lang w:eastAsia="tr-TR"/>
                    </w:rPr>
                    <w:t>hasılatını</w:t>
                  </w:r>
                  <w:r w:rsidRPr="00521ABC">
                    <w:rPr>
                      <w:lang w:eastAsia="tr-TR"/>
                    </w:rPr>
                    <w:t xml:space="preserve"> hesaplarken, sadece B Şirketini iştiraki olarak değerlendirir. C ve D Şirketlerinin aktif toplamını ve yıllık net satış </w:t>
                  </w:r>
                  <w:r w:rsidRPr="003E52CF">
                    <w:rPr>
                      <w:lang w:eastAsia="tr-TR"/>
                    </w:rPr>
                    <w:t>hasılatını</w:t>
                  </w:r>
                  <w:r w:rsidRPr="00521ABC">
                    <w:rPr>
                      <w:lang w:eastAsia="tr-TR"/>
                    </w:rPr>
                    <w:t xml:space="preserve"> dikkate almaz. Dolayısıyla, C ve D Şirketlerinin A ve B Şirketleriyle gerçekleştirdiği işlemler eliminasyona </w:t>
                  </w:r>
                  <w:r w:rsidRPr="003E52CF">
                    <w:rPr>
                      <w:lang w:eastAsia="tr-TR"/>
                    </w:rPr>
                    <w:t>dahil</w:t>
                  </w:r>
                  <w:r w:rsidRPr="00521ABC">
                    <w:rPr>
                      <w:lang w:eastAsia="tr-TR"/>
                    </w:rPr>
                    <w:t xml:space="preserve"> edilmez.</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(5) Aktif toplamının ve yıllık net satış </w:t>
                  </w:r>
                  <w:r w:rsidRPr="003E52CF">
                    <w:rPr>
                      <w:lang w:eastAsia="tr-TR"/>
                    </w:rPr>
                    <w:t>hasılatının</w:t>
                  </w:r>
                  <w:r w:rsidRPr="00521ABC">
                    <w:rPr>
                      <w:lang w:eastAsia="tr-TR"/>
                    </w:rPr>
                    <w:t xml:space="preserve"> hesabında, şirketin yurtdışındaki bağlı ortaklıklarının ve iştiraklerinin aktif toplamları ve yıllık net satış hasılatı da dikkate alınır.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Çalışan sayısının hesaplanması</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 xml:space="preserve">MADDE 8 – </w:t>
                  </w:r>
                  <w:r w:rsidRPr="00521ABC">
                    <w:rPr>
                      <w:lang w:eastAsia="tr-TR"/>
                    </w:rPr>
                    <w:t>(1) Şirketin çalışan sayısının belirlenmesinde, muhtasar beyannamede bildirilen aylık toplam çalışan sayısının yıllık ortalaması dikkate alınır. Söz konusu yıllık ortalama, aylar itibarıyla aylık çalışan sayılarının toplamının on ikiye bölünmesiyle elde edilir. Çıraklık ve mesleki eğitim sözleşmesi kapsamında şirkette mesleki eğitim gören çıraklar ve staj yapan öğrenciler çalışan sayısının hesabında dikkate alınmaz.</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(2) Ortalama çalışan sayısının belirlenmesinde, ana ortaklığın ve bağlı ortaklıkların bu maddeye göre hesaplanan çalışan sayılarının toplamı dikkate alınır. İştiraklerin bu maddeye göre hesaplanan çalışan sayısı ise şirketin iştirakteki hissesi oranında dikkate alınır.</w:t>
                  </w:r>
                </w:p>
                <w:p w:rsidR="00054508" w:rsidRDefault="00054508" w:rsidP="00054508">
                  <w:pPr>
                    <w:spacing w:before="100" w:beforeAutospacing="1" w:after="100" w:afterAutospacing="1" w:line="240" w:lineRule="exact"/>
                    <w:ind w:firstLine="566"/>
                    <w:jc w:val="both"/>
                    <w:rPr>
                      <w:lang w:eastAsia="tr-TR"/>
                    </w:rPr>
                  </w:pP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Örneğin, aşağıda aylık çalışan sayıları belirtilen, bağlı ortaklığı B Şirketi ve %20 iştiraki C Şirketi olan A Şirketinin ilgili hesap dönemine ilişkin ortalama çalışan sayısı şu şekilde hesaplanır: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Örneğin, B Şirketi A Şirketinin bağlı ortaklığı olup A Şirketinin C Şirketinde %20 oranında iştiraki vardır. Söz konusu şirketlerin aylık çalışan sayılarına ilişkin bilgiler aşağıdaki tabloda yer almaktadır: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w:t>
                  </w:r>
                </w:p>
                <w:tbl>
                  <w:tblPr>
                    <w:tblW w:w="8505" w:type="dxa"/>
                    <w:jc w:val="center"/>
                    <w:tblCellMar>
                      <w:left w:w="70" w:type="dxa"/>
                      <w:right w:w="70" w:type="dxa"/>
                    </w:tblCellMar>
                    <w:tblLook w:val="04A0"/>
                  </w:tblPr>
                  <w:tblGrid>
                    <w:gridCol w:w="4049"/>
                    <w:gridCol w:w="1332"/>
                    <w:gridCol w:w="1562"/>
                    <w:gridCol w:w="1562"/>
                  </w:tblGrid>
                  <w:tr w:rsidR="00054508" w:rsidRPr="003E52CF" w:rsidTr="009D5B08">
                    <w:trPr>
                      <w:trHeight w:val="288"/>
                      <w:jc w:val="center"/>
                    </w:trPr>
                    <w:tc>
                      <w:tcPr>
                        <w:tcW w:w="3306" w:type="dxa"/>
                        <w:tcBorders>
                          <w:top w:val="single" w:sz="4" w:space="0" w:color="auto"/>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b/>
                            <w:lang w:eastAsia="tr-TR"/>
                          </w:rPr>
                          <w:t>Aylar</w:t>
                        </w:r>
                      </w:p>
                    </w:tc>
                    <w:tc>
                      <w:tcPr>
                        <w:tcW w:w="1088" w:type="dxa"/>
                        <w:tcBorders>
                          <w:top w:val="single" w:sz="4" w:space="0" w:color="auto"/>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b/>
                            <w:lang w:eastAsia="tr-TR"/>
                          </w:rPr>
                          <w:t>A Şirketi</w:t>
                        </w:r>
                      </w:p>
                    </w:tc>
                    <w:tc>
                      <w:tcPr>
                        <w:tcW w:w="1276" w:type="dxa"/>
                        <w:tcBorders>
                          <w:top w:val="single" w:sz="4" w:space="0" w:color="auto"/>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b/>
                            <w:lang w:eastAsia="tr-TR"/>
                          </w:rPr>
                          <w:t>B Şirketi</w:t>
                        </w:r>
                      </w:p>
                    </w:tc>
                    <w:tc>
                      <w:tcPr>
                        <w:tcW w:w="1276" w:type="dxa"/>
                        <w:tcBorders>
                          <w:top w:val="single" w:sz="4" w:space="0" w:color="auto"/>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b/>
                            <w:lang w:eastAsia="tr-TR"/>
                          </w:rPr>
                          <w:t>C Şirketi</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Ocak</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300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170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180</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Şubat</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305</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180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170</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Mart</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310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185</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145</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Nisan</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305</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195</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150</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Mayıs</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300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185</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150</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Haziran</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295</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180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160</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Temmuz</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290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170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160</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Ağustos</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285</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135</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160</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Eylül</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290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140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170</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Ekim</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310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165</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180</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Kasım</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310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165</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180</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Aralık</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300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170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140</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b/>
                            <w:lang w:eastAsia="tr-TR"/>
                          </w:rPr>
                          <w:t>Toplam</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b/>
                            <w:lang w:eastAsia="tr-TR"/>
                          </w:rPr>
                          <w:t>3.600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b/>
                            <w:lang w:eastAsia="tr-TR"/>
                          </w:rPr>
                          <w:t>2.040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b/>
                            <w:lang w:eastAsia="tr-TR"/>
                          </w:rPr>
                          <w:t>1.945</w:t>
                        </w:r>
                      </w:p>
                    </w:tc>
                  </w:tr>
                  <w:tr w:rsidR="00054508" w:rsidRPr="003E52CF" w:rsidTr="009D5B08">
                    <w:trPr>
                      <w:trHeight w:val="288"/>
                      <w:jc w:val="center"/>
                    </w:trPr>
                    <w:tc>
                      <w:tcPr>
                        <w:tcW w:w="3306" w:type="dxa"/>
                        <w:tcBorders>
                          <w:top w:val="nil"/>
                          <w:left w:val="single" w:sz="4" w:space="0" w:color="auto"/>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b/>
                            <w:lang w:eastAsia="tr-TR"/>
                          </w:rPr>
                          <w:t>Yıllık ortalama (Toplam/12)</w:t>
                        </w:r>
                      </w:p>
                    </w:tc>
                    <w:tc>
                      <w:tcPr>
                        <w:tcW w:w="1088"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b/>
                            <w:lang w:eastAsia="tr-TR"/>
                          </w:rPr>
                          <w:t>300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b/>
                            <w:lang w:eastAsia="tr-TR"/>
                          </w:rPr>
                          <w:t>170</w:t>
                        </w:r>
                      </w:p>
                    </w:tc>
                    <w:tc>
                      <w:tcPr>
                        <w:tcW w:w="1276" w:type="dxa"/>
                        <w:tcBorders>
                          <w:top w:val="nil"/>
                          <w:left w:val="nil"/>
                          <w:bottom w:val="single" w:sz="4" w:space="0" w:color="auto"/>
                          <w:right w:val="single" w:sz="4" w:space="0" w:color="auto"/>
                        </w:tcBorders>
                        <w:noWrap/>
                        <w:vAlign w:val="bottom"/>
                        <w:hideMark/>
                      </w:tcPr>
                      <w:p w:rsidR="00054508" w:rsidRPr="00521ABC" w:rsidRDefault="00054508" w:rsidP="00054508">
                        <w:pPr>
                          <w:spacing w:before="100" w:beforeAutospacing="1" w:after="100" w:afterAutospacing="1" w:line="240" w:lineRule="exact"/>
                          <w:jc w:val="both"/>
                          <w:rPr>
                            <w:lang w:eastAsia="tr-TR"/>
                          </w:rPr>
                        </w:pPr>
                        <w:r w:rsidRPr="00521ABC">
                          <w:rPr>
                            <w:b/>
                            <w:lang w:eastAsia="tr-TR"/>
                          </w:rPr>
                          <w:t>162,08</w:t>
                        </w:r>
                      </w:p>
                    </w:tc>
                  </w:tr>
                </w:tbl>
                <w:p w:rsidR="00054508" w:rsidRPr="00521ABC" w:rsidRDefault="00054508" w:rsidP="00054508">
                  <w:pPr>
                    <w:spacing w:before="100" w:beforeAutospacing="1" w:after="100" w:afterAutospacing="1" w:line="240" w:lineRule="exact"/>
                    <w:jc w:val="both"/>
                    <w:rPr>
                      <w:lang w:eastAsia="tr-TR"/>
                    </w:rPr>
                  </w:pPr>
                  <w:r w:rsidRPr="00521ABC">
                    <w:rPr>
                      <w:lang w:eastAsia="tr-TR"/>
                    </w:rPr>
                    <w:t> </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Yukarıdaki tabloda, şirketler itibarıyla yıllık çalışan sayısı ve ortalama çalışan sayısı hesaplanmıştır. Buna göre, A Şirketinin yıllık ortalama çalışan sayısı hesaplanırken; A ve B Şirketlerinin yıllık ortalama çalışan sayılarının tamamı ile C Şirketinin yıllık ortalama çalışan sayısının sadece %20’si toplanır. Dolayısıyla, A Şirketi için toplam yıllık ortalama çalışan sayısı (300 + 170 + (162</w:t>
                  </w:r>
                  <w:proofErr w:type="gramStart"/>
                  <w:r w:rsidRPr="00521ABC">
                    <w:rPr>
                      <w:lang w:eastAsia="tr-TR"/>
                    </w:rPr>
                    <w:t>,08</w:t>
                  </w:r>
                  <w:proofErr w:type="gramEnd"/>
                  <w:r w:rsidRPr="00521ABC">
                    <w:rPr>
                      <w:lang w:eastAsia="tr-TR"/>
                    </w:rPr>
                    <w:t xml:space="preserve"> x %20) = ) 502,42’dir.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(3) Çalışan sayısının hesabında, 7 </w:t>
                  </w:r>
                  <w:r w:rsidRPr="003E52CF">
                    <w:rPr>
                      <w:lang w:eastAsia="tr-TR"/>
                    </w:rPr>
                    <w:t>nci</w:t>
                  </w:r>
                  <w:r w:rsidRPr="00521ABC">
                    <w:rPr>
                      <w:lang w:eastAsia="tr-TR"/>
                    </w:rPr>
                    <w:t xml:space="preserve"> madde çerçevesinde şirketin kendisinin, bağlı ortaklıklarının ve iştiraklerinin yurtiçindeki ve yurtdışındaki çalışan sayıları da dikkate alınır.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Birden fazla takvim yılına sirayet eden inşaat ve onarma işleri</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MADDE 9 –</w:t>
                  </w:r>
                  <w:r w:rsidRPr="00521ABC">
                    <w:rPr>
                      <w:lang w:eastAsia="tr-TR"/>
                    </w:rPr>
                    <w:t xml:space="preserve"> (1) 6 ve 7 </w:t>
                  </w:r>
                  <w:r w:rsidRPr="003E52CF">
                    <w:rPr>
                      <w:lang w:eastAsia="tr-TR"/>
                    </w:rPr>
                    <w:t>nci</w:t>
                  </w:r>
                  <w:r w:rsidRPr="00521ABC">
                    <w:rPr>
                      <w:lang w:eastAsia="tr-TR"/>
                    </w:rPr>
                    <w:t xml:space="preserve"> maddelerde belirtilen hususlara ek olarak, birden fazla takvim yılına sirayet eden inşaat ve onarma işlerini üstlenen şirketler açısından aktif toplamı ve yıllık net satış </w:t>
                  </w:r>
                  <w:r w:rsidRPr="003E52CF">
                    <w:rPr>
                      <w:lang w:eastAsia="tr-TR"/>
                    </w:rPr>
                    <w:t>hasılatı</w:t>
                  </w:r>
                  <w:r w:rsidRPr="00521ABC">
                    <w:rPr>
                      <w:lang w:eastAsia="tr-TR"/>
                    </w:rPr>
                    <w:t xml:space="preserve"> aşağıdaki gibi tespit edilir: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a) Aktif toplamının hesabında, Tekdüzen Hesap Planında yer alan “170-177 Yıllara Yaygın İnşaat ve Onarım Maliyetleri” hesapları dikkate alınmaz.</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b) Yıllık net satış </w:t>
                  </w:r>
                  <w:r w:rsidRPr="003E52CF">
                    <w:rPr>
                      <w:lang w:eastAsia="tr-TR"/>
                    </w:rPr>
                    <w:t>hasılatının</w:t>
                  </w:r>
                  <w:r w:rsidRPr="00521ABC">
                    <w:rPr>
                      <w:lang w:eastAsia="tr-TR"/>
                    </w:rPr>
                    <w:t xml:space="preserve"> hesabında, Tekdüzen Hesap Planında yer alan “350-358 Yıllara Yaygın İnşaat ve Onarım </w:t>
                  </w:r>
                  <w:r w:rsidRPr="003E52CF">
                    <w:rPr>
                      <w:lang w:eastAsia="tr-TR"/>
                    </w:rPr>
                    <w:t>Hakediş</w:t>
                  </w:r>
                  <w:r w:rsidRPr="00521ABC">
                    <w:rPr>
                      <w:lang w:eastAsia="tr-TR"/>
                    </w:rPr>
                    <w:t xml:space="preserve"> Bedelleri” hesaplarına sadece ilgili dönemde kaydedilen tutarlar yıllık net satış hasılatına eklenir.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lastRenderedPageBreak/>
                    <w:t xml:space="preserve">c) İşin bitiminde Tekdüzen Hesap Planında yer alan 350-358 </w:t>
                  </w:r>
                  <w:r w:rsidRPr="003E52CF">
                    <w:rPr>
                      <w:lang w:eastAsia="tr-TR"/>
                    </w:rPr>
                    <w:t>nolu</w:t>
                  </w:r>
                  <w:r w:rsidRPr="00521ABC">
                    <w:rPr>
                      <w:lang w:eastAsia="tr-TR"/>
                    </w:rPr>
                    <w:t xml:space="preserve"> hesaplardan ilgili dönem gelir tablosuna aktarılan kısımlar yıllık net satış </w:t>
                  </w:r>
                  <w:r w:rsidRPr="003E52CF">
                    <w:rPr>
                      <w:lang w:eastAsia="tr-TR"/>
                    </w:rPr>
                    <w:t>hasılatının</w:t>
                  </w:r>
                  <w:r w:rsidRPr="00521ABC">
                    <w:rPr>
                      <w:lang w:eastAsia="tr-TR"/>
                    </w:rPr>
                    <w:t xml:space="preserve"> hesabında dikkate alınmaz.</w:t>
                  </w:r>
                </w:p>
                <w:p w:rsidR="00054508" w:rsidRPr="00521ABC" w:rsidRDefault="00054508" w:rsidP="00054508">
                  <w:pPr>
                    <w:spacing w:before="85" w:after="100" w:afterAutospacing="1" w:line="240" w:lineRule="exact"/>
                    <w:jc w:val="both"/>
                    <w:rPr>
                      <w:lang w:eastAsia="tr-TR"/>
                    </w:rPr>
                  </w:pPr>
                  <w:r w:rsidRPr="00521ABC">
                    <w:rPr>
                      <w:lang w:eastAsia="tr-TR"/>
                    </w:rPr>
                    <w:t>ÜÇÜNCÜ BÖLÜM</w:t>
                  </w:r>
                </w:p>
                <w:p w:rsidR="00054508" w:rsidRPr="00521ABC" w:rsidRDefault="00054508" w:rsidP="00054508">
                  <w:pPr>
                    <w:spacing w:before="100" w:beforeAutospacing="1" w:after="85" w:line="240" w:lineRule="exact"/>
                    <w:jc w:val="both"/>
                    <w:rPr>
                      <w:lang w:eastAsia="tr-TR"/>
                    </w:rPr>
                  </w:pPr>
                  <w:r w:rsidRPr="00521ABC">
                    <w:rPr>
                      <w:lang w:eastAsia="tr-TR"/>
                    </w:rPr>
                    <w:t>Denetim Kapsamından Çıkma</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Denetimin kapsamından çıkma</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MADDE 10 –</w:t>
                  </w:r>
                  <w:r w:rsidRPr="00521ABC">
                    <w:rPr>
                      <w:lang w:eastAsia="tr-TR"/>
                    </w:rPr>
                    <w:t xml:space="preserve"> (1) Denetime tabi şirketler, tek başına veya bağlı ortaklıkları ve iştirakleriyle birlikte 5 inci maddede belirtilen ölçütlerden en az ikisine ait sınırların art arda iki hesap döneminde altında kalması durumunda, müteakip hesap döneminden itibaren denetim kapsamından çıkar. Birbirini takip eden hesap dönemlerinde sınırların altında kalınan iki ölçütün aynı olması şart değildir. Aşağıdaki tabloda örnek bir şirket için hesap dönemleri itibarıyla ölçütlerin sağlanması ve denetime tabi olma durumu gösterilmiştir:</w:t>
                  </w:r>
                </w:p>
                <w:p w:rsidR="00054508" w:rsidRPr="00521ABC" w:rsidRDefault="00054508" w:rsidP="00054508">
                  <w:pPr>
                    <w:keepNext/>
                    <w:spacing w:before="100" w:beforeAutospacing="1" w:after="100" w:afterAutospacing="1" w:line="240" w:lineRule="exact"/>
                    <w:ind w:firstLine="851"/>
                    <w:jc w:val="both"/>
                    <w:rPr>
                      <w:lang w:eastAsia="tr-TR"/>
                    </w:rPr>
                  </w:pPr>
                  <w:r w:rsidRPr="00521ABC">
                    <w:rPr>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210"/>
                    <w:gridCol w:w="1275"/>
                    <w:gridCol w:w="1204"/>
                    <w:gridCol w:w="1523"/>
                    <w:gridCol w:w="1589"/>
                  </w:tblGrid>
                  <w:tr w:rsidR="00054508" w:rsidRPr="003E52CF" w:rsidTr="009D5B08">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Hesap dönemleri</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Bilanço aktif toplamı 150 milyon TL veya üzeri midir?</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Yıllık net satış hasılatı200 milyon TL veya üzeri midir?</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Çalışan sayısı 500 veya üzeri midir?</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Kriterlerden en az ikisini sağlıyor mu?</w:t>
                        </w:r>
                      </w:p>
                    </w:tc>
                    <w:tc>
                      <w:tcPr>
                        <w:tcW w:w="1707" w:type="dxa"/>
                        <w:tcBorders>
                          <w:top w:val="single" w:sz="4" w:space="0" w:color="auto"/>
                          <w:left w:val="single" w:sz="4" w:space="0" w:color="auto"/>
                          <w:bottom w:val="single" w:sz="4" w:space="0" w:color="auto"/>
                          <w:right w:val="single" w:sz="4" w:space="0" w:color="auto"/>
                        </w:tcBorders>
                        <w:vAlign w:val="center"/>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Denetime tabi midir?</w:t>
                        </w:r>
                      </w:p>
                    </w:tc>
                  </w:tr>
                  <w:tr w:rsidR="00054508" w:rsidRPr="003E52CF" w:rsidTr="009D5B08">
                    <w:trPr>
                      <w:jc w:val="center"/>
                    </w:trPr>
                    <w:tc>
                      <w:tcPr>
                        <w:tcW w:w="1843"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1/1-31/12 2011</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Evet</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Hayır</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Evet</w:t>
                        </w:r>
                      </w:p>
                    </w:tc>
                    <w:tc>
                      <w:tcPr>
                        <w:tcW w:w="1559"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Sağlıyor</w:t>
                        </w:r>
                      </w:p>
                    </w:tc>
                    <w:tc>
                      <w:tcPr>
                        <w:tcW w:w="1707"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Referans yıl</w:t>
                        </w:r>
                      </w:p>
                    </w:tc>
                  </w:tr>
                  <w:tr w:rsidR="00054508" w:rsidRPr="003E52CF" w:rsidTr="009D5B08">
                    <w:trPr>
                      <w:jc w:val="center"/>
                    </w:trPr>
                    <w:tc>
                      <w:tcPr>
                        <w:tcW w:w="1843"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1/1-31/12 2012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Evet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Evet</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Hayır</w:t>
                        </w:r>
                      </w:p>
                    </w:tc>
                    <w:tc>
                      <w:tcPr>
                        <w:tcW w:w="1559"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Sağlıyor</w:t>
                        </w:r>
                      </w:p>
                    </w:tc>
                    <w:tc>
                      <w:tcPr>
                        <w:tcW w:w="1707"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Referans yıl</w:t>
                        </w:r>
                      </w:p>
                    </w:tc>
                  </w:tr>
                  <w:tr w:rsidR="00054508" w:rsidRPr="003E52CF" w:rsidTr="009D5B08">
                    <w:trPr>
                      <w:jc w:val="center"/>
                    </w:trPr>
                    <w:tc>
                      <w:tcPr>
                        <w:tcW w:w="1843"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1/1-31/12 2013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Evet</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Hayır</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Evet</w:t>
                        </w:r>
                      </w:p>
                    </w:tc>
                    <w:tc>
                      <w:tcPr>
                        <w:tcW w:w="1559"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Sağlıyor</w:t>
                        </w:r>
                      </w:p>
                    </w:tc>
                    <w:tc>
                      <w:tcPr>
                        <w:tcW w:w="1707"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Tabidir</w:t>
                        </w:r>
                      </w:p>
                    </w:tc>
                  </w:tr>
                  <w:tr w:rsidR="00054508" w:rsidRPr="003E52CF" w:rsidTr="009D5B08">
                    <w:trPr>
                      <w:jc w:val="center"/>
                    </w:trPr>
                    <w:tc>
                      <w:tcPr>
                        <w:tcW w:w="1843"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1/1-31/12 2014</w:t>
                        </w:r>
                        <w:r w:rsidRPr="00521ABC">
                          <w:rPr>
                            <w:vertAlign w:val="superscript"/>
                            <w:lang w:eastAsia="tr-TR"/>
                          </w:rPr>
                          <w:t>*</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Hayır</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Hayır</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Evet</w:t>
                        </w:r>
                      </w:p>
                    </w:tc>
                    <w:tc>
                      <w:tcPr>
                        <w:tcW w:w="1559"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Sağlamıyor</w:t>
                        </w:r>
                      </w:p>
                    </w:tc>
                    <w:tc>
                      <w:tcPr>
                        <w:tcW w:w="1707"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Tabidir</w:t>
                        </w:r>
                      </w:p>
                    </w:tc>
                  </w:tr>
                  <w:tr w:rsidR="00054508" w:rsidRPr="003E52CF" w:rsidTr="009D5B08">
                    <w:trPr>
                      <w:jc w:val="center"/>
                    </w:trPr>
                    <w:tc>
                      <w:tcPr>
                        <w:tcW w:w="1843"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1/1-31/12 2015</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Hayır</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Evet</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Hayır</w:t>
                        </w:r>
                      </w:p>
                    </w:tc>
                    <w:tc>
                      <w:tcPr>
                        <w:tcW w:w="1559"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Sağlamıyor</w:t>
                        </w:r>
                      </w:p>
                    </w:tc>
                    <w:tc>
                      <w:tcPr>
                        <w:tcW w:w="1707"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Tabidir</w:t>
                        </w:r>
                      </w:p>
                    </w:tc>
                  </w:tr>
                  <w:tr w:rsidR="00054508" w:rsidRPr="003E52CF" w:rsidTr="009D5B08">
                    <w:trPr>
                      <w:jc w:val="center"/>
                    </w:trPr>
                    <w:tc>
                      <w:tcPr>
                        <w:tcW w:w="1843"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1/1-31/12 2016</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Evet</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Hayır</w:t>
                        </w:r>
                      </w:p>
                    </w:tc>
                    <w:tc>
                      <w:tcPr>
                        <w:tcW w:w="1276"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spacing w:before="100" w:beforeAutospacing="1" w:after="100" w:afterAutospacing="1" w:line="240" w:lineRule="exact"/>
                          <w:jc w:val="both"/>
                          <w:rPr>
                            <w:lang w:eastAsia="tr-TR"/>
                          </w:rPr>
                        </w:pPr>
                        <w:r w:rsidRPr="00521ABC">
                          <w:rPr>
                            <w:lang w:eastAsia="tr-TR"/>
                          </w:rPr>
                          <w:t>Evet</w:t>
                        </w:r>
                      </w:p>
                    </w:tc>
                    <w:tc>
                      <w:tcPr>
                        <w:tcW w:w="1559"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Sağlıyor</w:t>
                        </w:r>
                      </w:p>
                    </w:tc>
                    <w:tc>
                      <w:tcPr>
                        <w:tcW w:w="1707" w:type="dxa"/>
                        <w:tcBorders>
                          <w:top w:val="single" w:sz="4" w:space="0" w:color="auto"/>
                          <w:left w:val="single" w:sz="4" w:space="0" w:color="auto"/>
                          <w:bottom w:val="single" w:sz="4" w:space="0" w:color="auto"/>
                          <w:right w:val="single" w:sz="4" w:space="0" w:color="auto"/>
                        </w:tcBorders>
                        <w:hideMark/>
                      </w:tcPr>
                      <w:p w:rsidR="00054508" w:rsidRPr="00521ABC" w:rsidRDefault="00054508" w:rsidP="00054508">
                        <w:pPr>
                          <w:keepNext/>
                          <w:spacing w:before="100" w:beforeAutospacing="1" w:after="100" w:afterAutospacing="1" w:line="240" w:lineRule="exact"/>
                          <w:jc w:val="both"/>
                          <w:rPr>
                            <w:lang w:eastAsia="tr-TR"/>
                          </w:rPr>
                        </w:pPr>
                        <w:r w:rsidRPr="00521ABC">
                          <w:rPr>
                            <w:lang w:eastAsia="tr-TR"/>
                          </w:rPr>
                          <w:t>Tabi değildir</w:t>
                        </w:r>
                      </w:p>
                    </w:tc>
                  </w:tr>
                </w:tbl>
                <w:p w:rsidR="00054508" w:rsidRPr="00521ABC" w:rsidRDefault="00054508" w:rsidP="00054508">
                  <w:pPr>
                    <w:keepNext/>
                    <w:spacing w:before="100" w:beforeAutospacing="1" w:after="100" w:afterAutospacing="1" w:line="240" w:lineRule="exact"/>
                    <w:ind w:left="426" w:hanging="284"/>
                    <w:jc w:val="both"/>
                    <w:rPr>
                      <w:lang w:eastAsia="tr-TR"/>
                    </w:rPr>
                  </w:pPr>
                  <w:r w:rsidRPr="00521ABC">
                    <w:rPr>
                      <w:lang w:eastAsia="tr-TR"/>
                    </w:rPr>
                    <w:t xml:space="preserve">* </w:t>
                  </w:r>
                  <w:r w:rsidRPr="00521ABC">
                    <w:rPr>
                      <w:lang w:eastAsia="tr-TR"/>
                    </w:rPr>
                    <w:tab/>
                  </w:r>
                  <w:r w:rsidRPr="003E52CF">
                    <w:rPr>
                      <w:i/>
                      <w:lang w:eastAsia="tr-TR"/>
                    </w:rPr>
                    <w:t>31/12/2014</w:t>
                  </w:r>
                  <w:r w:rsidRPr="00521ABC">
                    <w:rPr>
                      <w:i/>
                      <w:lang w:eastAsia="tr-TR"/>
                    </w:rPr>
                    <w:t xml:space="preserve"> tarihinde sona eren hesap döneminde ölçütlerden en az ikisinin sınırlarının yüzde yirmi veya daha fazla altında kalınmadığı varsayılmıştır.</w:t>
                  </w:r>
                  <w:r w:rsidRPr="00521ABC">
                    <w:rPr>
                      <w:lang w:eastAsia="tr-TR"/>
                    </w:rPr>
                    <w:t xml:space="preserve"> </w:t>
                  </w:r>
                </w:p>
                <w:p w:rsidR="00054508" w:rsidRPr="00521ABC" w:rsidRDefault="00054508" w:rsidP="00054508">
                  <w:pPr>
                    <w:keepNext/>
                    <w:spacing w:before="100" w:beforeAutospacing="1" w:after="100" w:afterAutospacing="1" w:line="240" w:lineRule="exact"/>
                    <w:jc w:val="both"/>
                    <w:rPr>
                      <w:lang w:eastAsia="tr-TR"/>
                    </w:rPr>
                  </w:pP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(2) Denetime tabi şirketler, 7 </w:t>
                  </w:r>
                  <w:r w:rsidRPr="003E52CF">
                    <w:rPr>
                      <w:lang w:eastAsia="tr-TR"/>
                    </w:rPr>
                    <w:t>nci</w:t>
                  </w:r>
                  <w:r w:rsidRPr="00521ABC">
                    <w:rPr>
                      <w:lang w:eastAsia="tr-TR"/>
                    </w:rPr>
                    <w:t xml:space="preserve"> madde çerçevesinde tek başına veya bağlı ortaklıkları ve iştirakleriyle birlikte, bir hesap döneminde 5 inci maddede belirtilen ölçütlerden en az ikisinin sınırlarının yüzde yirmi veya daha fazla altında kalması durumunda, müteakip hesap döneminden itibaren denetim kapsamından çıkar. Örneğin, </w:t>
                  </w:r>
                  <w:r w:rsidRPr="003E52CF">
                    <w:rPr>
                      <w:lang w:eastAsia="tr-TR"/>
                    </w:rPr>
                    <w:t>1/1/2013</w:t>
                  </w:r>
                  <w:r w:rsidRPr="00521ABC">
                    <w:rPr>
                      <w:lang w:eastAsia="tr-TR"/>
                    </w:rPr>
                    <w:t xml:space="preserve">-31/12/2013 hesap döneminde denetime tabi olan bir şirketin 31/12/2013 tarihinde sona eren hesap döneminde aktif toplamı 110 milyon TL, yıllık net satış hasılatı 150 milyon TL ve çalışan sayısı 550 kişidir. Şirket, söz konusu hesap döneminde, aktif toplamı ve yıllık net satış </w:t>
                  </w:r>
                  <w:r w:rsidRPr="003E52CF">
                    <w:rPr>
                      <w:lang w:eastAsia="tr-TR"/>
                    </w:rPr>
                    <w:t>hasılatı</w:t>
                  </w:r>
                  <w:r w:rsidRPr="00521ABC">
                    <w:rPr>
                      <w:lang w:eastAsia="tr-TR"/>
                    </w:rPr>
                    <w:t xml:space="preserve"> ölçütlerine ilişkin sınırların yüzde yirmiden daha fazla altında kalmıştır. Bu nedenle şirket, </w:t>
                  </w:r>
                  <w:r w:rsidRPr="003E52CF">
                    <w:rPr>
                      <w:lang w:eastAsia="tr-TR"/>
                    </w:rPr>
                    <w:t>1/1/2014</w:t>
                  </w:r>
                  <w:r w:rsidRPr="00521ABC">
                    <w:rPr>
                      <w:lang w:eastAsia="tr-TR"/>
                    </w:rPr>
                    <w:t>-31/12/2014 hesap dönemi için denetimin kapsamından çıkar.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(3) Bu madde hükmü, denetime tabi şirketlerden Bakanlar Kurulu Kararına ekli (I) sayılı liste kapsamında bulunan şirketler açısından uygulanmaz.</w:t>
                  </w:r>
                </w:p>
                <w:p w:rsidR="00054508" w:rsidRDefault="00054508" w:rsidP="00054508">
                  <w:pPr>
                    <w:spacing w:before="100" w:beforeAutospacing="1" w:after="100" w:afterAutospacing="1" w:line="240" w:lineRule="exact"/>
                    <w:ind w:firstLine="566"/>
                    <w:jc w:val="both"/>
                    <w:rPr>
                      <w:b/>
                      <w:lang w:eastAsia="tr-TR"/>
                    </w:rPr>
                  </w:pP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lastRenderedPageBreak/>
                    <w:t>Esas alınacak finansal tablolar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MADDE 11 –</w:t>
                  </w:r>
                  <w:r w:rsidRPr="00521ABC">
                    <w:rPr>
                      <w:lang w:eastAsia="tr-TR"/>
                    </w:rPr>
                    <w:t xml:space="preserve"> (1) Denetime tabi olan şirketler, finansal tablolarını 6102 sayılı Kanun ve </w:t>
                  </w:r>
                  <w:r w:rsidRPr="003E52CF">
                    <w:rPr>
                      <w:lang w:eastAsia="tr-TR"/>
                    </w:rPr>
                    <w:t>TMS’ye</w:t>
                  </w:r>
                  <w:r w:rsidRPr="00521ABC">
                    <w:rPr>
                      <w:lang w:eastAsia="tr-TR"/>
                    </w:rPr>
                    <w:t xml:space="preserve"> göre hazırlar. Bu şirketler daha sonraki hesap dönemlerinde denetim kapsamında olup olmadıklarını değerlendirirken, aktif toplamının ve yıllık net satış </w:t>
                  </w:r>
                  <w:r w:rsidRPr="003E52CF">
                    <w:rPr>
                      <w:lang w:eastAsia="tr-TR"/>
                    </w:rPr>
                    <w:t>hasılatının</w:t>
                  </w:r>
                  <w:r w:rsidRPr="00521ABC">
                    <w:rPr>
                      <w:lang w:eastAsia="tr-TR"/>
                    </w:rPr>
                    <w:t xml:space="preserve"> hesabında 6102 sayılı Kanun ve </w:t>
                  </w:r>
                  <w:r w:rsidRPr="003E52CF">
                    <w:rPr>
                      <w:lang w:eastAsia="tr-TR"/>
                    </w:rPr>
                    <w:t>TMS’ye</w:t>
                  </w:r>
                  <w:r w:rsidRPr="00521ABC">
                    <w:rPr>
                      <w:lang w:eastAsia="tr-TR"/>
                    </w:rPr>
                    <w:t xml:space="preserve"> göre hazırladıkları finansal tabloları dikkate alır. Bu durumda, bağlı ortaklık ve iştirak kavramları 6102 sayılı Kanun ve </w:t>
                  </w:r>
                  <w:r w:rsidRPr="003E52CF">
                    <w:rPr>
                      <w:lang w:eastAsia="tr-TR"/>
                    </w:rPr>
                    <w:t>TMS’deki</w:t>
                  </w:r>
                  <w:r w:rsidRPr="00521ABC">
                    <w:rPr>
                      <w:lang w:eastAsia="tr-TR"/>
                    </w:rPr>
                    <w:t xml:space="preserve"> anlamlarıyla dikkate alınır. Ölçütlerin belirlenmesinde bağlı ortaklıkların tam </w:t>
                  </w:r>
                  <w:r w:rsidRPr="003E52CF">
                    <w:rPr>
                      <w:lang w:eastAsia="tr-TR"/>
                    </w:rPr>
                    <w:t>konsolidasyon</w:t>
                  </w:r>
                  <w:r w:rsidRPr="00521ABC">
                    <w:rPr>
                      <w:lang w:eastAsia="tr-TR"/>
                    </w:rPr>
                    <w:t xml:space="preserve"> yöntemine, iştiraklerin ise </w:t>
                  </w:r>
                  <w:r w:rsidRPr="003E52CF">
                    <w:rPr>
                      <w:lang w:eastAsia="tr-TR"/>
                    </w:rPr>
                    <w:t>özkaynak</w:t>
                  </w:r>
                  <w:r w:rsidRPr="00521ABC">
                    <w:rPr>
                      <w:lang w:eastAsia="tr-TR"/>
                    </w:rPr>
                    <w:t xml:space="preserve"> yöntemine göre konsolide edildikleri finansal tablolar kullanılır. Ortalama çalışan sayısının hesabında 8 inci madde hükümleri uygulanır.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Denetim kapsamından çıkılmasından sonra esas alınacak finansal tablolar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MADDE 12 –</w:t>
                  </w:r>
                  <w:r w:rsidRPr="00521ABC">
                    <w:rPr>
                      <w:lang w:eastAsia="tr-TR"/>
                    </w:rPr>
                    <w:t xml:space="preserve"> (1) Denetime tabi olan bir şirketin sonraki hesap dönemlerinde denetim kapsamından çıkması durumunda, söz konusu şirketin müteakip hesap dönemlerinde denetime tabi olup olmayacağının tespitinde 6, 7 ve 9 uncu madde hükümleri uygulanır.</w:t>
                  </w:r>
                </w:p>
                <w:p w:rsidR="00054508" w:rsidRPr="00521ABC" w:rsidRDefault="00054508" w:rsidP="00054508">
                  <w:pPr>
                    <w:spacing w:before="85" w:after="100" w:afterAutospacing="1" w:line="240" w:lineRule="exact"/>
                    <w:jc w:val="both"/>
                    <w:rPr>
                      <w:lang w:eastAsia="tr-TR"/>
                    </w:rPr>
                  </w:pPr>
                  <w:r w:rsidRPr="00521ABC">
                    <w:rPr>
                      <w:lang w:eastAsia="tr-TR"/>
                    </w:rPr>
                    <w:t>DÖRDÜNCÜ BÖLÜM</w:t>
                  </w:r>
                </w:p>
                <w:p w:rsidR="00054508" w:rsidRPr="00521ABC" w:rsidRDefault="00054508" w:rsidP="00054508">
                  <w:pPr>
                    <w:spacing w:before="100" w:beforeAutospacing="1" w:after="85" w:line="240" w:lineRule="exact"/>
                    <w:jc w:val="both"/>
                    <w:rPr>
                      <w:lang w:eastAsia="tr-TR"/>
                    </w:rPr>
                  </w:pPr>
                  <w:r w:rsidRPr="00521ABC">
                    <w:rPr>
                      <w:lang w:eastAsia="tr-TR"/>
                    </w:rPr>
                    <w:t>Çeşitli ve Son Hükümler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Karşılaştırmalı olarak sunulan finansal tablolar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MADDE 13 –</w:t>
                  </w:r>
                  <w:r w:rsidRPr="00521ABC">
                    <w:rPr>
                      <w:lang w:eastAsia="tr-TR"/>
                    </w:rPr>
                    <w:t xml:space="preserve"> (1) Denetime tabi olunan hesap dönemlerine ilişkin finansal tablolar denetimden geçmiş olarak sunulur. Geçmiş hesap dönemi veya dönemlerine ilişkin finansal tabloların karşılaştırmalı olarak sunulması esastır. Geçmiş hesap dönemlerinde denetime tabi olunmamış ise, denetimden geçmiş finansal tablolarla karşılaştırmalı olarak sunulan geçmiş dönem finansal tablolarının denetimden geçmiş olması zorunlu değildir.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GEÇİCİ MADDE 1 –</w:t>
                  </w:r>
                  <w:r w:rsidRPr="00521ABC">
                    <w:rPr>
                      <w:lang w:eastAsia="tr-TR"/>
                    </w:rPr>
                    <w:t xml:space="preserve"> (1) Hesap dönemi takvim yılı olan şirketler açısından; 2013 hesap dönemi finansal tablolarının denetime tabi olup olmadığının belirlenmesinde, </w:t>
                  </w:r>
                  <w:r w:rsidRPr="003E52CF">
                    <w:rPr>
                      <w:lang w:eastAsia="tr-TR"/>
                    </w:rPr>
                    <w:t>1/1/2013</w:t>
                  </w:r>
                  <w:r w:rsidRPr="00521ABC">
                    <w:rPr>
                      <w:lang w:eastAsia="tr-TR"/>
                    </w:rPr>
                    <w:t xml:space="preserve"> tarihinden önce sona eren son iki hesap dönemine ilişkin bilanço (diğer bir ifadeyle, 31/12/2011 ve 31/12/2012 tarihli) ve gelir tablosu (2011 ve 2012 hesap dönemlerine ilişkin) kullanılır.</w:t>
                  </w:r>
                </w:p>
                <w:p w:rsidR="00054508" w:rsidRPr="00521ABC" w:rsidRDefault="00054508" w:rsidP="00054508">
                  <w:pPr>
                    <w:spacing w:before="100" w:beforeAutospacing="1" w:after="100" w:afterAutospacing="1" w:line="240" w:lineRule="exact"/>
                    <w:ind w:firstLine="566"/>
                    <w:jc w:val="both"/>
                    <w:rPr>
                      <w:lang w:eastAsia="tr-TR"/>
                    </w:rPr>
                  </w:pPr>
                  <w:r w:rsidRPr="00521ABC">
                    <w:rPr>
                      <w:lang w:eastAsia="tr-TR"/>
                    </w:rPr>
                    <w:t xml:space="preserve">(2) Özel hesap dönemini uygulayan şirketler açısından; denetime tabi olunup olunmadığının belirlenmesinde, 6102 sayılı Kanunun Geçici 6 </w:t>
                  </w:r>
                  <w:r w:rsidRPr="003E52CF">
                    <w:rPr>
                      <w:lang w:eastAsia="tr-TR"/>
                    </w:rPr>
                    <w:t>ncı</w:t>
                  </w:r>
                  <w:r w:rsidRPr="00521ABC">
                    <w:rPr>
                      <w:lang w:eastAsia="tr-TR"/>
                    </w:rPr>
                    <w:t xml:space="preserve"> maddesinin ikinci fıkrası uyarınca 2012 ve 2013 yıllarında sona eren hesap dönemlerine ilişkin dönem sonu (örneğin, </w:t>
                  </w:r>
                  <w:r w:rsidRPr="003E52CF">
                    <w:rPr>
                      <w:lang w:eastAsia="tr-TR"/>
                    </w:rPr>
                    <w:t>30/6/2012</w:t>
                  </w:r>
                  <w:r w:rsidRPr="00521ABC">
                    <w:rPr>
                      <w:lang w:eastAsia="tr-TR"/>
                    </w:rPr>
                    <w:t xml:space="preserve"> ve 30/6/2013 tarihli) finansal tabloları kullanılır.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Yürürlük</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 xml:space="preserve">MADDE 14 – </w:t>
                  </w:r>
                  <w:r w:rsidRPr="00521ABC">
                    <w:rPr>
                      <w:lang w:eastAsia="tr-TR"/>
                    </w:rPr>
                    <w:t xml:space="preserve">(1) Bu Usul ve Esaslar </w:t>
                  </w:r>
                  <w:r w:rsidRPr="003E52CF">
                    <w:rPr>
                      <w:lang w:eastAsia="tr-TR"/>
                    </w:rPr>
                    <w:t>1/1/2013</w:t>
                  </w:r>
                  <w:r w:rsidRPr="00521ABC">
                    <w:rPr>
                      <w:lang w:eastAsia="tr-TR"/>
                    </w:rPr>
                    <w:t xml:space="preserve"> tarihinden itibaren geçerli olmak üzere yayımı tarihinde yürürlüğe girer.</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Yürütme</w:t>
                  </w:r>
                </w:p>
                <w:p w:rsidR="00054508" w:rsidRPr="00521ABC" w:rsidRDefault="00054508" w:rsidP="00054508">
                  <w:pPr>
                    <w:spacing w:before="100" w:beforeAutospacing="1" w:after="100" w:afterAutospacing="1" w:line="240" w:lineRule="exact"/>
                    <w:ind w:firstLine="566"/>
                    <w:jc w:val="both"/>
                    <w:rPr>
                      <w:lang w:eastAsia="tr-TR"/>
                    </w:rPr>
                  </w:pPr>
                  <w:r w:rsidRPr="00521ABC">
                    <w:rPr>
                      <w:b/>
                      <w:lang w:eastAsia="tr-TR"/>
                    </w:rPr>
                    <w:t xml:space="preserve">MADDE 15 – </w:t>
                  </w:r>
                  <w:r w:rsidRPr="00521ABC">
                    <w:rPr>
                      <w:lang w:eastAsia="tr-TR"/>
                    </w:rPr>
                    <w:t>(1) Bu Usul ve Esaslar hükümlerini Kurum Başkanı yürütür.</w:t>
                  </w:r>
                </w:p>
                <w:p w:rsidR="00054508" w:rsidRPr="00521ABC" w:rsidRDefault="00054508" w:rsidP="00054508">
                  <w:pPr>
                    <w:spacing w:before="100" w:beforeAutospacing="1" w:after="100" w:afterAutospacing="1"/>
                    <w:jc w:val="both"/>
                    <w:rPr>
                      <w:lang w:eastAsia="tr-TR"/>
                    </w:rPr>
                  </w:pPr>
                  <w:r w:rsidRPr="00521ABC">
                    <w:rPr>
                      <w:b/>
                      <w:lang w:eastAsia="tr-TR"/>
                    </w:rPr>
                    <w:t> </w:t>
                  </w:r>
                </w:p>
              </w:tc>
            </w:tr>
          </w:tbl>
          <w:p w:rsidR="00054508" w:rsidRPr="00521ABC" w:rsidRDefault="00054508" w:rsidP="009D5B08">
            <w:pPr>
              <w:rPr>
                <w:lang w:eastAsia="tr-TR"/>
              </w:rPr>
            </w:pPr>
          </w:p>
        </w:tc>
      </w:tr>
    </w:tbl>
    <w:p w:rsidR="00054508" w:rsidRDefault="00054508" w:rsidP="00F92034">
      <w:pPr>
        <w:spacing w:line="240" w:lineRule="atLeast"/>
        <w:jc w:val="both"/>
        <w:rPr>
          <w:rFonts w:ascii="Tahoma" w:hAnsi="Tahoma" w:cs="Tahoma"/>
          <w:sz w:val="18"/>
          <w:szCs w:val="18"/>
        </w:rPr>
      </w:pPr>
    </w:p>
    <w:sectPr w:rsidR="00054508"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FCA" w:rsidRDefault="00A12FCA" w:rsidP="00053CFC">
      <w:r>
        <w:separator/>
      </w:r>
    </w:p>
  </w:endnote>
  <w:endnote w:type="continuationSeparator" w:id="0">
    <w:p w:rsidR="00A12FCA" w:rsidRDefault="00A12FCA"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507FD">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FCA" w:rsidRDefault="00A12FCA" w:rsidP="00053CFC">
      <w:r>
        <w:separator/>
      </w:r>
    </w:p>
  </w:footnote>
  <w:footnote w:type="continuationSeparator" w:id="0">
    <w:p w:rsidR="00A12FCA" w:rsidRDefault="00A12FCA"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507FD"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507FD">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4">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3"/>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2DDD"/>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55EA"/>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54A"/>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34AE"/>
    <w:rsid w:val="006B4369"/>
    <w:rsid w:val="006B47E4"/>
    <w:rsid w:val="006B545C"/>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26A"/>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5C43"/>
    <w:rsid w:val="008970C9"/>
    <w:rsid w:val="008A0E5C"/>
    <w:rsid w:val="008A3147"/>
    <w:rsid w:val="008A66A4"/>
    <w:rsid w:val="008A6D0C"/>
    <w:rsid w:val="008A735C"/>
    <w:rsid w:val="008A77D1"/>
    <w:rsid w:val="008B158D"/>
    <w:rsid w:val="008B269E"/>
    <w:rsid w:val="008B3011"/>
    <w:rsid w:val="008B3A85"/>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34B9B"/>
    <w:rsid w:val="0094412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2785"/>
    <w:rsid w:val="00A054D0"/>
    <w:rsid w:val="00A05FD6"/>
    <w:rsid w:val="00A06C7B"/>
    <w:rsid w:val="00A101C4"/>
    <w:rsid w:val="00A12431"/>
    <w:rsid w:val="00A12A84"/>
    <w:rsid w:val="00A12FCA"/>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4009"/>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2DCA"/>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245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364A"/>
    <w:rsid w:val="00CC5656"/>
    <w:rsid w:val="00CC60A1"/>
    <w:rsid w:val="00CC703C"/>
    <w:rsid w:val="00CC71DB"/>
    <w:rsid w:val="00CD025A"/>
    <w:rsid w:val="00CD0328"/>
    <w:rsid w:val="00CD0D74"/>
    <w:rsid w:val="00CD2394"/>
    <w:rsid w:val="00CD3442"/>
    <w:rsid w:val="00CD5CF9"/>
    <w:rsid w:val="00CD6B0F"/>
    <w:rsid w:val="00CD7F60"/>
    <w:rsid w:val="00CE0B85"/>
    <w:rsid w:val="00CE211A"/>
    <w:rsid w:val="00CE3285"/>
    <w:rsid w:val="00CE3E54"/>
    <w:rsid w:val="00CE40B2"/>
    <w:rsid w:val="00CE46CC"/>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139"/>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07FD"/>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34"/>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7FD"/>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lang/>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link w:val="Balk9Char"/>
    <w:qFormat/>
    <w:rsid w:val="00103CB1"/>
    <w:pPr>
      <w:keepNext/>
      <w:jc w:val="center"/>
      <w:outlineLvl w:val="8"/>
    </w:pPr>
    <w:rPr>
      <w:sz w:val="28"/>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F507FD"/>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F507FD"/>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F507FD"/>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uiPriority w:val="99"/>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E713-2EC9-4994-A278-7FD4C525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2429</Words>
  <Characters>13849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16246</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39</cp:revision>
  <cp:lastPrinted>2008-11-05T16:07:00Z</cp:lastPrinted>
  <dcterms:created xsi:type="dcterms:W3CDTF">2012-11-28T13:05:00Z</dcterms:created>
  <dcterms:modified xsi:type="dcterms:W3CDTF">2013-03-12T11:59:00Z</dcterms:modified>
</cp:coreProperties>
</file>