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D22D1B" w:rsidRPr="00D22D1B" w:rsidRDefault="00D22D1B" w:rsidP="00D22D1B">
      <w:pPr>
        <w:rPr>
          <w:rFonts w:ascii="Tahoma" w:hAnsi="Tahoma" w:cs="Tahoma"/>
          <w:i/>
          <w:sz w:val="20"/>
          <w:szCs w:val="20"/>
        </w:rPr>
      </w:pPr>
    </w:p>
    <w:p w:rsidR="00D92768" w:rsidRDefault="00D92768" w:rsidP="00D22D1B">
      <w:pPr>
        <w:rPr>
          <w:rFonts w:ascii="Tahoma" w:hAnsi="Tahoma" w:cs="Tahoma"/>
          <w:sz w:val="20"/>
          <w:szCs w:val="20"/>
        </w:rPr>
      </w:pPr>
    </w:p>
    <w:p w:rsidR="00D22D1B" w:rsidRPr="00D22D1B" w:rsidRDefault="00D22D1B" w:rsidP="00D22D1B">
      <w:pPr>
        <w:rPr>
          <w:rFonts w:ascii="Tahoma" w:hAnsi="Tahoma" w:cs="Tahoma"/>
          <w:sz w:val="20"/>
          <w:szCs w:val="20"/>
        </w:rPr>
      </w:pPr>
      <w:r w:rsidRPr="00D22D1B">
        <w:rPr>
          <w:rFonts w:ascii="Tahoma" w:hAnsi="Tahoma" w:cs="Tahoma"/>
          <w:sz w:val="20"/>
          <w:szCs w:val="20"/>
        </w:rPr>
        <w:t>122 Seri No’lu KDV Genel Tebliği sirkülerimizin ekinde yer almakta olup, yapılan değişiklikler ile birlikte 117 Seri No’lu Genel Tebliğin değişen bölümleri aşağıya alınmıştır:</w:t>
      </w:r>
    </w:p>
    <w:p w:rsidR="00D22D1B" w:rsidRPr="00D22D1B" w:rsidRDefault="00D22D1B" w:rsidP="00D22D1B">
      <w:pPr>
        <w:spacing w:before="100" w:beforeAutospacing="1" w:after="100" w:afterAutospacing="1" w:line="240" w:lineRule="exact"/>
        <w:jc w:val="both"/>
        <w:rPr>
          <w:rFonts w:ascii="Tahoma" w:hAnsi="Tahoma" w:cs="Tahoma"/>
          <w:b/>
          <w:sz w:val="20"/>
          <w:szCs w:val="20"/>
          <w:u w:val="single"/>
        </w:rPr>
      </w:pPr>
      <w:r w:rsidRPr="00D22D1B">
        <w:rPr>
          <w:rFonts w:ascii="Tahoma" w:hAnsi="Tahoma" w:cs="Tahoma"/>
          <w:b/>
          <w:sz w:val="20"/>
          <w:szCs w:val="20"/>
          <w:u w:val="single"/>
        </w:rPr>
        <w:t>1. KÜLÇE METAL TESLİMLERİ:</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t xml:space="preserve"> “3.3.1.1. Tevkifat Uygulayacak Alıcılar ve Tevkifat Oranı</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Tebliğin (3.3.1.2.) bölümünde belirtilen külçe metallerin Tebliğin (3.1.2.) bölümünde sayılanlara tesliminde, </w:t>
      </w:r>
      <w:r w:rsidRPr="00D22D1B">
        <w:rPr>
          <w:rFonts w:ascii="Tahoma" w:hAnsi="Tahoma" w:cs="Tahoma"/>
          <w:b/>
          <w:i/>
          <w:sz w:val="20"/>
          <w:szCs w:val="20"/>
        </w:rPr>
        <w:t>(7/10)</w:t>
      </w:r>
      <w:r w:rsidRPr="00D22D1B">
        <w:rPr>
          <w:rFonts w:ascii="Tahoma" w:hAnsi="Tahoma" w:cs="Tahoma"/>
          <w:i/>
          <w:sz w:val="20"/>
          <w:szCs w:val="20"/>
        </w:rPr>
        <w:t xml:space="preserve"> oranında KDV tevkifatı uygulanacaktır.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Hurda metallerden elde edilenler dışındaki bakır, çinko ve alüminyum, </w:t>
      </w:r>
      <w:r w:rsidRPr="00D22D1B">
        <w:rPr>
          <w:rFonts w:ascii="Tahoma" w:hAnsi="Tahoma" w:cs="Tahoma"/>
          <w:i/>
          <w:sz w:val="20"/>
          <w:szCs w:val="20"/>
          <w:highlight w:val="yellow"/>
        </w:rPr>
        <w:t>kurşun</w:t>
      </w:r>
      <w:r w:rsidRPr="00D22D1B">
        <w:rPr>
          <w:rFonts w:ascii="Tahoma" w:hAnsi="Tahoma" w:cs="Tahoma"/>
          <w:i/>
          <w:sz w:val="20"/>
          <w:szCs w:val="20"/>
        </w:rPr>
        <w:t xml:space="preserve"> külçelerinin ithalatçılar ve ilk üreticiler (cevherden üretim yapanlar) tarafından yapılan teslimlerinde tevkifat uygulanmayacak, bu safhalardan sonraki el değiştirmelerde ise tevkifat uygulanacaktır. Hurda metalden elde edilen külçelerin ithalatçıları ve üreticileri tarafından tesliminde de tevkifat uygulanacaktır.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İthalatçılar tarafından yapılacak teslimlerde, satıcı (ithalatçı) tarafından düzenlenecek faturada “Teslim edilen mal doğrudan ithalat yoluyla temin edildiğinden tevkifat uygulanmamıştır.” açıklamasına ve ithalata ilişkin fatura ve gümrük beyannamesi bilgilerine</w:t>
      </w:r>
      <w:r w:rsidRPr="00D22D1B">
        <w:rPr>
          <w:rFonts w:ascii="Tahoma" w:hAnsi="Tahoma" w:cs="Tahoma"/>
          <w:b/>
          <w:i/>
          <w:caps/>
          <w:sz w:val="20"/>
          <w:szCs w:val="20"/>
        </w:rPr>
        <w:t xml:space="preserve"> </w:t>
      </w:r>
      <w:r w:rsidRPr="00D22D1B">
        <w:rPr>
          <w:rFonts w:ascii="Tahoma" w:hAnsi="Tahoma" w:cs="Tahoma"/>
          <w:i/>
          <w:sz w:val="20"/>
          <w:szCs w:val="20"/>
        </w:rPr>
        <w:t>yer verilecektir. Cevherden üretim yapanlar ise düzenlenecek faturada “Teslim edilen mal firmamızca cevherden üretildiğinden tevkifat uygulanmamıştır.” açıklamasına yer vermek suretiyle tevkifat uygulanmaksızın işlem yapabileceklerdir.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t>3.3.1.2. Kapsam</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Tevkifat kapsamına, her türlü hurda metallerden elde edilen külçeler ile hurda metallerden elde edilenler dışındaki bakır, çinko, alüminyum ve </w:t>
      </w:r>
      <w:r w:rsidRPr="00D22D1B">
        <w:rPr>
          <w:rFonts w:ascii="Tahoma" w:hAnsi="Tahoma" w:cs="Tahoma"/>
          <w:i/>
          <w:sz w:val="20"/>
          <w:szCs w:val="20"/>
          <w:highlight w:val="yellow"/>
        </w:rPr>
        <w:t>kurşun</w:t>
      </w:r>
      <w:r w:rsidRPr="00D22D1B">
        <w:rPr>
          <w:rFonts w:ascii="Tahoma" w:hAnsi="Tahoma" w:cs="Tahoma"/>
          <w:i/>
          <w:sz w:val="20"/>
          <w:szCs w:val="20"/>
        </w:rPr>
        <w:t xml:space="preserve"> külçelerinin teslimi girmektedir. Slab, billet (biyet), kütük ve ingot teslimleri de bu uygulama bakımından külçe olarak değerlendirilecektir.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Yukarıda belirtilen metallerin, alışlarında tevkifat uygulanıp uygulanmadığına ve silisyum, magnezyum, mangan, nikel, titan gibi maddeler ihtiva edip etmediklerine bakılmaksızın, külçe, slab, biyet, kütük ve ingot haline getirilmiş şekilde satışında KDV tevkifatı uygulanacaktır.”</w:t>
      </w:r>
    </w:p>
    <w:p w:rsidR="00D22D1B" w:rsidRPr="00D22D1B" w:rsidRDefault="00D22D1B" w:rsidP="00D22D1B">
      <w:pPr>
        <w:spacing w:before="100" w:beforeAutospacing="1" w:after="100" w:afterAutospacing="1" w:line="240" w:lineRule="exact"/>
        <w:jc w:val="both"/>
        <w:rPr>
          <w:rFonts w:ascii="Tahoma" w:hAnsi="Tahoma" w:cs="Tahoma"/>
          <w:b/>
          <w:sz w:val="20"/>
          <w:szCs w:val="20"/>
          <w:u w:val="single"/>
        </w:rPr>
      </w:pPr>
      <w:r w:rsidRPr="00D22D1B">
        <w:rPr>
          <w:rFonts w:ascii="Tahoma" w:hAnsi="Tahoma" w:cs="Tahoma"/>
          <w:b/>
          <w:sz w:val="20"/>
          <w:szCs w:val="20"/>
          <w:u w:val="single"/>
        </w:rPr>
        <w:t xml:space="preserve">2. BAKIR, ÇİNKO, ALÜMİNYUM VE </w:t>
      </w:r>
      <w:r w:rsidRPr="00D22D1B">
        <w:rPr>
          <w:rFonts w:ascii="Tahoma" w:hAnsi="Tahoma" w:cs="Tahoma"/>
          <w:b/>
          <w:sz w:val="20"/>
          <w:szCs w:val="20"/>
          <w:highlight w:val="yellow"/>
          <w:u w:val="single"/>
        </w:rPr>
        <w:t>KURŞUN</w:t>
      </w:r>
      <w:r w:rsidRPr="00D22D1B">
        <w:rPr>
          <w:rFonts w:ascii="Tahoma" w:hAnsi="Tahoma" w:cs="Tahoma"/>
          <w:b/>
          <w:sz w:val="20"/>
          <w:szCs w:val="20"/>
          <w:u w:val="single"/>
        </w:rPr>
        <w:t xml:space="preserve"> ÜRÜNLERİNİN TESLİMİ</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t xml:space="preserve"> “3.3.2.1. Tevkifat Uygulayacak Alıcılar ve Tevkifat Oranı</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Bakır ve alaşımlarından, çinko ve alaşımlarından, alüminyum ve alaşımlarından, </w:t>
      </w:r>
      <w:r w:rsidRPr="00D22D1B">
        <w:rPr>
          <w:rFonts w:ascii="Tahoma" w:hAnsi="Tahoma" w:cs="Tahoma"/>
          <w:i/>
          <w:sz w:val="20"/>
          <w:szCs w:val="20"/>
          <w:highlight w:val="yellow"/>
        </w:rPr>
        <w:t>kurşun ve alaşımlarından</w:t>
      </w:r>
      <w:r w:rsidRPr="00D22D1B">
        <w:rPr>
          <w:rFonts w:ascii="Tahoma" w:hAnsi="Tahoma" w:cs="Tahoma"/>
          <w:i/>
          <w:sz w:val="20"/>
          <w:szCs w:val="20"/>
        </w:rPr>
        <w:t xml:space="preserve">  mamul, Tebliğin (3.3.2.2.) bölümünde belirtilen ürünlerin Tebliğin (3.1.2.) bölümünde sayılanlara tesliminde, (</w:t>
      </w:r>
      <w:r w:rsidRPr="00D22D1B">
        <w:rPr>
          <w:rFonts w:ascii="Tahoma" w:hAnsi="Tahoma" w:cs="Tahoma"/>
          <w:i/>
          <w:sz w:val="20"/>
          <w:szCs w:val="20"/>
          <w:highlight w:val="yellow"/>
        </w:rPr>
        <w:t>5/10</w:t>
      </w:r>
      <w:r w:rsidRPr="00D22D1B">
        <w:rPr>
          <w:rFonts w:ascii="Tahoma" w:hAnsi="Tahoma" w:cs="Tahoma"/>
          <w:i/>
          <w:sz w:val="20"/>
          <w:szCs w:val="20"/>
        </w:rPr>
        <w:t>) oranında KDV tevkifatı uygulanacaktır.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Bunların, ilk üreticileri (cevherden üretim yapanlar) ile ithalatçıları tarafından tesliminde tevkifat uygulanmayacak, sonraki safhaların teslimleri ise tevkifata tabi olacaktır.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İthalatçılar tarafından yapılacak teslimlerde, satıcı (ithalatçı) tarafından düzenlenecek faturada “Teslim edilen mal doğrudan ithalat yoluyla temin edildiğinden tevkifat uygulanmamıştır.” açıklamasına ve ithalata ilişkin fatura ve gümrük beyannamesi bilgilerine</w:t>
      </w:r>
      <w:r w:rsidRPr="00D22D1B">
        <w:rPr>
          <w:rFonts w:ascii="Tahoma" w:hAnsi="Tahoma" w:cs="Tahoma"/>
          <w:b/>
          <w:i/>
          <w:caps/>
          <w:sz w:val="20"/>
          <w:szCs w:val="20"/>
        </w:rPr>
        <w:t xml:space="preserve"> </w:t>
      </w:r>
      <w:r w:rsidRPr="00D22D1B">
        <w:rPr>
          <w:rFonts w:ascii="Tahoma" w:hAnsi="Tahoma" w:cs="Tahoma"/>
          <w:i/>
          <w:sz w:val="20"/>
          <w:szCs w:val="20"/>
        </w:rPr>
        <w:t>yer verilecektir. Cevherden üretim yapanlar ise düzenlenecek faturada “Teslim edilen mal firmamızca cevherden üretildiğinden tevkifat uygulanmamıştır.” açıklamasına yer vermek suretiyle tevkifat uygulanmaksızın işlem yapabileceklerdir.</w:t>
      </w:r>
    </w:p>
    <w:p w:rsidR="00653DF1" w:rsidRDefault="00653DF1" w:rsidP="00D22D1B">
      <w:pPr>
        <w:spacing w:before="100" w:beforeAutospacing="1" w:after="100" w:afterAutospacing="1" w:line="240" w:lineRule="exact"/>
        <w:jc w:val="both"/>
        <w:rPr>
          <w:rFonts w:ascii="Tahoma" w:hAnsi="Tahoma" w:cs="Tahoma"/>
          <w:b/>
          <w:i/>
          <w:sz w:val="20"/>
          <w:szCs w:val="20"/>
        </w:rPr>
      </w:pP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lastRenderedPageBreak/>
        <w:t>3.3.2.2. Kapsam</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3.3.2.2.1. Tevkifat kapsamına, bakır ve alaşımlarından, çinko ve alaşımlarından, alüminyum ve alaşımlarından, </w:t>
      </w:r>
      <w:r w:rsidRPr="00D22D1B">
        <w:rPr>
          <w:rFonts w:ascii="Tahoma" w:hAnsi="Tahoma" w:cs="Tahoma"/>
          <w:i/>
          <w:sz w:val="20"/>
          <w:szCs w:val="20"/>
          <w:highlight w:val="yellow"/>
        </w:rPr>
        <w:t>kurşun ve alaşımlarından</w:t>
      </w:r>
      <w:r w:rsidRPr="00D22D1B">
        <w:rPr>
          <w:rFonts w:ascii="Tahoma" w:hAnsi="Tahoma" w:cs="Tahoma"/>
          <w:i/>
          <w:sz w:val="20"/>
          <w:szCs w:val="20"/>
        </w:rPr>
        <w:t xml:space="preserve"> mamul; anot, katot, granül, filmaşin, profil, levha, tabaka, rulo, şerit, panel, sac, boru, pirinç çubuk, lama, her türlü tel ve benzerleri </w:t>
      </w:r>
      <w:r w:rsidRPr="00D22D1B">
        <w:rPr>
          <w:rFonts w:ascii="Tahoma" w:hAnsi="Tahoma" w:cs="Tahoma"/>
          <w:i/>
          <w:sz w:val="20"/>
          <w:szCs w:val="20"/>
          <w:highlight w:val="yellow"/>
        </w:rPr>
        <w:t>ile kurşun ve alaşımlarından mamul, tuğla, mühür, yaprak, plaka, folyo, pul, saçma, ızgara, toz, kurşun oksit, kurşun monoksit, kırmızı oksit ve benzerleri</w:t>
      </w:r>
      <w:r w:rsidRPr="00D22D1B">
        <w:rPr>
          <w:rFonts w:ascii="Tahoma" w:hAnsi="Tahoma" w:cs="Tahoma"/>
          <w:i/>
          <w:sz w:val="20"/>
          <w:szCs w:val="20"/>
        </w:rPr>
        <w:t xml:space="preserve"> girmektedir.</w:t>
      </w:r>
    </w:p>
    <w:p w:rsidR="00D92768" w:rsidRDefault="00D92768" w:rsidP="00D22D1B">
      <w:pPr>
        <w:spacing w:before="100" w:beforeAutospacing="1" w:after="100" w:afterAutospacing="1" w:line="240" w:lineRule="exact"/>
        <w:jc w:val="both"/>
        <w:rPr>
          <w:rFonts w:ascii="Tahoma" w:hAnsi="Tahoma" w:cs="Tahoma"/>
          <w:i/>
          <w:sz w:val="20"/>
          <w:szCs w:val="20"/>
        </w:rPr>
      </w:pP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Profilin boyanmış veya kaplanmış olması, bunların tesliminde tevkifat uygulanmasına engel değildir. Bu durumda, profilin boyanması veya kaplanmasına ilişkin fason eloksal işçiliği tevkifat kapsamında olmayacaktır.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3.3.2.2.2. Bakır, çinko, alüminyum ve </w:t>
      </w:r>
      <w:r w:rsidRPr="00D22D1B">
        <w:rPr>
          <w:rFonts w:ascii="Tahoma" w:hAnsi="Tahoma" w:cs="Tahoma"/>
          <w:i/>
          <w:sz w:val="20"/>
          <w:szCs w:val="20"/>
          <w:highlight w:val="yellow"/>
        </w:rPr>
        <w:t>kurşun</w:t>
      </w:r>
      <w:r w:rsidRPr="00D22D1B">
        <w:rPr>
          <w:rFonts w:ascii="Tahoma" w:hAnsi="Tahoma" w:cs="Tahoma"/>
          <w:i/>
          <w:sz w:val="20"/>
          <w:szCs w:val="20"/>
        </w:rPr>
        <w:t xml:space="preserve"> telin; plastik, cam, kâğıt, emaye, vernik ve benzeri izolasyon malzemeleri ile kaplanması suretiyle elde edilen "izoleli iletken" teslimleri tevkifata tabi tutulmayacaktır.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Ayrıca, söz konusu metal ve alaşımlarından imal edilen nihai ürünler ile bunların kesme, sıyırma, kıvırma, kaynak, bükme, vida yeri delme-açma ve benzeri şekillerde işlenmesi sonucu elde edilen yarı mamul ve mamul mahiyetindeki malların teslimleri tevkifata tabi olmayacaktır.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Örnek:</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Bakır, çinko, alüminyum, </w:t>
      </w:r>
      <w:r w:rsidRPr="00D22D1B">
        <w:rPr>
          <w:rFonts w:ascii="Tahoma" w:hAnsi="Tahoma" w:cs="Tahoma"/>
          <w:i/>
          <w:sz w:val="20"/>
          <w:szCs w:val="20"/>
          <w:highlight w:val="yellow"/>
        </w:rPr>
        <w:t>kurşun</w:t>
      </w:r>
      <w:r w:rsidRPr="00D22D1B">
        <w:rPr>
          <w:rFonts w:ascii="Tahoma" w:hAnsi="Tahoma" w:cs="Tahoma"/>
          <w:i/>
          <w:sz w:val="20"/>
          <w:szCs w:val="20"/>
        </w:rPr>
        <w:t xml:space="preserve"> ve bunların alaşımı metallerden elde edilen meşrubat kutusu, otomobil parçası, havalandırma kanal borusu, pano, çerçeve, kapı, kapı kolu, mahya, alüminyum folyo, köşebent, vida, somun, vida soketi, dübel, kilit, çivi, kepenk taşı, flanş, maşon, dirsek, bek, kanca, menteşe, aksesuar ve benzerlerinin teslimi tevkifata tabi olmayacaktır.</w:t>
      </w:r>
    </w:p>
    <w:p w:rsidR="00D22D1B" w:rsidRPr="00D22D1B" w:rsidRDefault="00D22D1B" w:rsidP="00D22D1B">
      <w:pPr>
        <w:spacing w:before="100" w:beforeAutospacing="1" w:after="100" w:afterAutospacing="1" w:line="240" w:lineRule="exact"/>
        <w:jc w:val="both"/>
        <w:rPr>
          <w:rFonts w:ascii="Tahoma" w:hAnsi="Tahoma" w:cs="Tahoma"/>
          <w:b/>
          <w:sz w:val="20"/>
          <w:szCs w:val="20"/>
          <w:u w:val="single"/>
        </w:rPr>
      </w:pPr>
      <w:r w:rsidRPr="00D22D1B">
        <w:rPr>
          <w:rFonts w:ascii="Tahoma" w:hAnsi="Tahoma" w:cs="Tahoma"/>
          <w:b/>
          <w:sz w:val="20"/>
          <w:szCs w:val="20"/>
          <w:u w:val="single"/>
        </w:rPr>
        <w:t>3. HURDA VE ATIK TESLİMLERİ:</w:t>
      </w:r>
    </w:p>
    <w:p w:rsidR="00D22D1B" w:rsidRPr="00D22D1B" w:rsidRDefault="00D22D1B" w:rsidP="00D22D1B">
      <w:pPr>
        <w:spacing w:before="100" w:beforeAutospacing="1" w:after="100" w:afterAutospacing="1" w:line="240" w:lineRule="exact"/>
        <w:jc w:val="both"/>
        <w:rPr>
          <w:rFonts w:ascii="Tahoma" w:hAnsi="Tahoma" w:cs="Tahoma"/>
          <w:b/>
          <w:sz w:val="20"/>
          <w:szCs w:val="20"/>
        </w:rPr>
      </w:pPr>
      <w:r w:rsidRPr="00D22D1B">
        <w:rPr>
          <w:rFonts w:ascii="Tahoma" w:hAnsi="Tahoma" w:cs="Tahoma"/>
          <w:b/>
          <w:sz w:val="20"/>
          <w:szCs w:val="20"/>
        </w:rPr>
        <w:t>(Notumuz: Bu teslimler KDV den istisna olmakla birlikte  istisnadan vazgeçenlerin teslimleri için bu bölüm geçerlidir)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 “ </w:t>
      </w:r>
      <w:r w:rsidRPr="00D22D1B">
        <w:rPr>
          <w:rFonts w:ascii="Tahoma" w:hAnsi="Tahoma" w:cs="Tahoma"/>
          <w:b/>
          <w:i/>
          <w:sz w:val="20"/>
          <w:szCs w:val="20"/>
        </w:rPr>
        <w:t>3.3.3.1. Tevkifat Uygulayacak Alıcılar ve Tevkifat Oranı</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Metal, plastik, lastik, kauçuk, kâğıt, cam hurda ve atıklarının teslimi KDV Kanununun (17/4-g) maddesi gereğince KDV’den müstesnadır. Ancak, bu malların teslimi ile ilgili olarak aynı Kanunun (18/1) maddesine göre istisnadan vazgeçilmesi mümkündür.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İstisnadan vazgeçenlerin metal, plastik, lastik, kauçuk, kâğıt, cam hurda ve atıklarının tesliminde, Tebliğin (3.1.2.) bölümü kapsamındaki alıcılar tarafından </w:t>
      </w:r>
      <w:r w:rsidRPr="00D22D1B">
        <w:rPr>
          <w:rFonts w:ascii="Tahoma" w:hAnsi="Tahoma" w:cs="Tahoma"/>
          <w:i/>
          <w:sz w:val="20"/>
          <w:szCs w:val="20"/>
          <w:highlight w:val="yellow"/>
        </w:rPr>
        <w:t>(5/10</w:t>
      </w:r>
      <w:r w:rsidRPr="00D22D1B">
        <w:rPr>
          <w:rFonts w:ascii="Tahoma" w:hAnsi="Tahoma" w:cs="Tahoma"/>
          <w:i/>
          <w:sz w:val="20"/>
          <w:szCs w:val="20"/>
        </w:rPr>
        <w:t>) oranında KDV tevkifatı uygulanacaktır.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t>3.3.3.2. Kapsam</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Tevkifat uygulamasının kapsamına ilişkin açıklamalar aşağıdadır.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3.3.3.2.1. Hurda kavramı; her türlü metal, plastik, lastik, kauçuk, kâğıt ve cam hurdasını, bunların hurda halindeki karışımlarını, aynen veya onarılmak suretiyle üretim amaçlarına uygun olarak kullanılamayacak haldeki metal, plastik, lastik, kauçuk, kâğıt ve cam karakterli her türlü ham, yarı mamul ve mamul maddeyi ifade etmektedir.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Hurda kavramının işaret edilen genel anlamı çerçevesinde;</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demir, bakır, alüminyum, pirinç, kurşun, teneke, çelik, çinko, pik, sarı, bronz, nikel, kızıl, lehim, mangan-tutya, antimon ve benzeri her türlü metaller,</w:t>
      </w:r>
    </w:p>
    <w:p w:rsidR="00653DF1" w:rsidRDefault="00653DF1" w:rsidP="00D22D1B">
      <w:pPr>
        <w:spacing w:before="100" w:beforeAutospacing="1" w:after="100" w:afterAutospacing="1" w:line="240" w:lineRule="exact"/>
        <w:ind w:firstLine="567"/>
        <w:jc w:val="both"/>
        <w:rPr>
          <w:rFonts w:ascii="Tahoma" w:hAnsi="Tahoma" w:cs="Tahoma"/>
          <w:i/>
          <w:sz w:val="20"/>
          <w:szCs w:val="20"/>
        </w:rPr>
      </w:pP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bu metallerin alaşım, bileşim ve cürufları,</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imalathane ya da fabrikalarda imalat sırasında ortaya çıkan metal kırpıntı, döküntü ve talaşlar ile standart dışı çıkan metal ürünler,</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izabe tesislerinden çıkan standart dışı metal hammaddeler, yarı mamuller, hadde bozukları</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ve benzerleri "hurda metal" kabul edilecektir.</w:t>
      </w:r>
    </w:p>
    <w:p w:rsidR="00D92768" w:rsidRDefault="00D92768" w:rsidP="00D22D1B">
      <w:pPr>
        <w:spacing w:before="100" w:beforeAutospacing="1" w:after="100" w:afterAutospacing="1" w:line="240" w:lineRule="exact"/>
        <w:jc w:val="both"/>
        <w:rPr>
          <w:rFonts w:ascii="Tahoma" w:hAnsi="Tahoma" w:cs="Tahoma"/>
          <w:i/>
          <w:sz w:val="20"/>
          <w:szCs w:val="20"/>
        </w:rPr>
      </w:pP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Ayrıca, hurda veya atık niteliğindeki; her türlü kâğıt, karton, mukavva, kauçuk, plastik ile bunların kırpıntıları, naylon, lastik kırıkları, cam şişe, kavanoz, otomobil ve pencere camları, cam kırıkları teslimleri de tevkifat uygulaması kapsamındadır.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3.3.3.2.2. Tamir ve bakımdan sonra aynı amaçla kullanılması mümkün olan kullanılmış metal, plastik, lastik, kauçuk, kâğıt ve cam esaslı eşya teslimlerinde tevkifat uygulanmayacaktır.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Örnek 1:</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"Hurda" olarak tabir edilen bir jeneratör, bobinleri sarılıp tamir ve bakımdan sonra yeniden jeneratör olarak kullanılacak hale getiriliyorsa, kullanılmış jeneratörün tesliminde tevkifat uygulanmayacaktır.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Örnek 2:</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(A) Ltd. Şti. tarafından, atık değerlendirme işiyle uğraşan Hurda A.Ş.’ye yapılacak hurda pil, hurda akü vb. teslimleri esas itibariyle Kanunun (17/4-g) maddesi kapsamında KDV’den istisna olacak, (A)’nın istisnadan vazgeçmiş olması halinde teslim bedeli üzerinden hesaplanan KDV’nin</w:t>
      </w:r>
      <w:r w:rsidRPr="00D22D1B">
        <w:rPr>
          <w:rFonts w:ascii="Tahoma" w:hAnsi="Tahoma" w:cs="Tahoma"/>
          <w:i/>
          <w:sz w:val="20"/>
          <w:szCs w:val="20"/>
          <w:highlight w:val="yellow"/>
        </w:rPr>
        <w:t>( 5</w:t>
      </w:r>
      <w:r w:rsidRPr="00D22D1B">
        <w:rPr>
          <w:rFonts w:ascii="Tahoma" w:hAnsi="Tahoma" w:cs="Tahoma"/>
          <w:i/>
          <w:sz w:val="20"/>
          <w:szCs w:val="20"/>
        </w:rPr>
        <w:t>/10)’u Hurda A.Ş. tarafından tevkifata tabi tutulacaktır.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Hurda akü ve pilin belirli bir işlemden geçirildikten sonra tekrar kullanılabilir duruma gelmesinin mümkün olması halinde, bu teslimde istisna veya tevkifat uygulanmayacaktır.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3.3.3.2.3. Kanunun (17/4-g) maddesi veya tevkifat uygulaması kapsamında değerlendirilebilmesi için ekonomik ömrünü doldurmuş araç-gereç ve iş makinelerinin hurda olarak satılması ve satış sonunda alıcının bunları, hurda olarak değerlendirmesi gerekmektedir. Aynen veya onarılmak suretiyle üretim amaçlarına uygun olarak kullanılacak durumda olanların teslimi tevkifat kapsamında değerlendirilmeyecektir.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İlgili mevzuat çerçevesinde hurdaya ayrılmak suretiyle trafikten çekilmeleri nedeniyle teslimleri KDV Kanununun (17/4-g) maddesi uyarınca vergiden müstesna olan motorlu kara taşıtlarının tesliminde de aynı şekilde işlem tesis edilecektir.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3.3.3.2.4. Hurda gemilerden yapılan sökümler sonrası teslimlerde de yukarıdaki açıklamaya göre hareket edilecektir.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Buna göre, gemi söküm işlerinde hurda gemilerin sökülmesi sonunda elde edilen metal aksam (pervane, motor, telsiz, radyo-teyp, uydu alıcısı vb.) aynı amaçla kullanılmak üzere satılıyorsa alıcılar tarafından KDV tevkifatı yapılmayacaktır.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Söz konusu aksamın kullanılamaz durumda olması halinde ise bunların sökenler tarafından tesliminde ve sonraki safhalarda tevkifat uygulanacaktır.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Aynı şekilde, hurda gemilerden sökülen sac aksamın, sökenler tarafından tesliminde ve sonraki safhalarda el değiştirmelerinde de tevkifat uygulanacaktır.”</w:t>
      </w:r>
    </w:p>
    <w:p w:rsidR="00D22D1B" w:rsidRPr="00D22D1B" w:rsidRDefault="00D22D1B" w:rsidP="00D22D1B">
      <w:pPr>
        <w:spacing w:before="100" w:beforeAutospacing="1" w:after="100" w:afterAutospacing="1" w:line="240" w:lineRule="exact"/>
        <w:jc w:val="both"/>
        <w:rPr>
          <w:rFonts w:ascii="Tahoma" w:hAnsi="Tahoma" w:cs="Tahoma"/>
          <w:b/>
          <w:sz w:val="20"/>
          <w:szCs w:val="20"/>
          <w:u w:val="single"/>
        </w:rPr>
      </w:pPr>
      <w:r w:rsidRPr="00D22D1B">
        <w:rPr>
          <w:rFonts w:ascii="Tahoma" w:hAnsi="Tahoma" w:cs="Tahoma"/>
          <w:b/>
          <w:sz w:val="20"/>
          <w:szCs w:val="20"/>
          <w:u w:val="single"/>
        </w:rPr>
        <w:lastRenderedPageBreak/>
        <w:t>4. AĞAÇ VE ORMAN ÜRÜNLERİ TESLİMİ:</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t xml:space="preserve"> “3.3.6.1. Tevkifat Uygulayacak Alıcılar ve Tevkifat Oranı</w:t>
      </w:r>
    </w:p>
    <w:p w:rsidR="00D92768"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Tebliğin (3.1.2.) bölümünde sayılanların, Tebliğin (3.3.6.2) bölümünde belirtilen ürün, artık, talaş ve kırpıntı alımlarında (</w:t>
      </w:r>
      <w:r w:rsidRPr="00D22D1B">
        <w:rPr>
          <w:rFonts w:ascii="Tahoma" w:hAnsi="Tahoma" w:cs="Tahoma"/>
          <w:i/>
          <w:sz w:val="20"/>
          <w:szCs w:val="20"/>
          <w:highlight w:val="yellow"/>
        </w:rPr>
        <w:t>5/10</w:t>
      </w:r>
      <w:r w:rsidRPr="00D22D1B">
        <w:rPr>
          <w:rFonts w:ascii="Tahoma" w:hAnsi="Tahoma" w:cs="Tahoma"/>
          <w:i/>
          <w:sz w:val="20"/>
          <w:szCs w:val="20"/>
        </w:rPr>
        <w:t>) oranında KDV tevkifatı uygulanacaktır.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Söz konusu malların ithalatçıları tarafından tesliminde tevkifat uygulanmayacaktır. İthalatçılar tarafından yapılacak teslimlerde, satıcı (ithalatçı) tarafından düzenlenecek faturada “Teslim edilen mal doğrudan ithalat yoluyla temin edildiğinden tevkifat uygulanmamıştır.” açıklamasına ve ithalata ilişkin fatura ve gümrük beyannamesi bilgilerine</w:t>
      </w:r>
      <w:r w:rsidRPr="00D22D1B">
        <w:rPr>
          <w:rFonts w:ascii="Tahoma" w:hAnsi="Tahoma" w:cs="Tahoma"/>
          <w:b/>
          <w:i/>
          <w:caps/>
          <w:sz w:val="20"/>
          <w:szCs w:val="20"/>
        </w:rPr>
        <w:t xml:space="preserve"> </w:t>
      </w:r>
      <w:r w:rsidRPr="00D22D1B">
        <w:rPr>
          <w:rFonts w:ascii="Tahoma" w:hAnsi="Tahoma" w:cs="Tahoma"/>
          <w:i/>
          <w:sz w:val="20"/>
          <w:szCs w:val="20"/>
        </w:rPr>
        <w:t>yer verilecektir.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t>3.3.6.2. Kapsam</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Ağaç işleme endüstrisinde kullanılan ve ilk madde-malzeme niteliğinde olan her türlü ağaç, tomruk, odun ile bunların önceden belirlenmiş ölçülerde biçilmesiyle elde edilen inşaatlık, doğramalık, marangozluk, mobilyalık ve benzeri kereste, mobilya ve kereste imalatı sonucu ortaya çıkan kırpıntı, çıta ve benzeri imalat artıkları ile odun artığı talaş teslimleri tevkifat uygulaması kapsamındadır.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Öte yandan, tomruk, odun, kereste, kırpıntı, atık vb. mahiyetinde olmayan; mobilya, kapı-pencere doğraması, döşeme malzemesi, sunta, levha, mdf, rabıta, lambri, süpürgelik ve benzeri ürünlerin tesliminde tevkifat uygulanmayacaktır.”</w:t>
      </w:r>
    </w:p>
    <w:p w:rsidR="00D22D1B" w:rsidRPr="00D22D1B" w:rsidRDefault="00D22D1B" w:rsidP="00D22D1B">
      <w:pPr>
        <w:spacing w:before="100" w:beforeAutospacing="1" w:after="100" w:afterAutospacing="1" w:line="240" w:lineRule="exact"/>
        <w:jc w:val="both"/>
        <w:rPr>
          <w:rFonts w:ascii="Tahoma" w:hAnsi="Tahoma" w:cs="Tahoma"/>
          <w:b/>
          <w:sz w:val="20"/>
          <w:szCs w:val="20"/>
          <w:u w:val="single"/>
        </w:rPr>
      </w:pPr>
      <w:r w:rsidRPr="00D22D1B">
        <w:rPr>
          <w:rFonts w:ascii="Tahoma" w:hAnsi="Tahoma" w:cs="Tahoma"/>
          <w:b/>
          <w:sz w:val="20"/>
          <w:szCs w:val="20"/>
          <w:u w:val="single"/>
        </w:rPr>
        <w:t>5. İADE İŞLEMLERİ:</w:t>
      </w:r>
    </w:p>
    <w:p w:rsidR="00D22D1B" w:rsidRPr="00D22D1B" w:rsidRDefault="00D22D1B" w:rsidP="00D22D1B">
      <w:pPr>
        <w:tabs>
          <w:tab w:val="left" w:pos="3385"/>
        </w:tabs>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t xml:space="preserve"> “5.2.1. MAHSUBEN İADE TALEPLERİ</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5.2.1.1. Kısmi tevkifat uygulamasından kaynaklanan iade alacaklarının mahsuben iadesi, mükellefin kendisinin, ortaklık payı ile orantılı olmak üzere adi, kollektif ve komandit şirketlerde ortakların (komandit şirketlerde sadece komandite ortakların) ithalat sırasında uygulananlar dahil vergi borçları ile sosyal sigortalar prim borçları ve ferileri için söz konusu olabilecektir.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Mahsup kapsamına, tevkifatla ilgili olarak verilen 2 No.lu KDV Beyannamesine göre tahakkuk eden vergiler de dahildir.</w:t>
      </w:r>
    </w:p>
    <w:p w:rsidR="00D22D1B" w:rsidRPr="00D22D1B" w:rsidRDefault="00D22D1B" w:rsidP="00D22D1B">
      <w:pPr>
        <w:spacing w:before="100" w:beforeAutospacing="1" w:after="100" w:afterAutospacing="1" w:line="240" w:lineRule="exact"/>
        <w:rPr>
          <w:rFonts w:ascii="Tahoma" w:hAnsi="Tahoma" w:cs="Tahoma"/>
          <w:i/>
          <w:sz w:val="20"/>
          <w:szCs w:val="20"/>
          <w:highlight w:val="yellow"/>
        </w:rPr>
      </w:pPr>
      <w:r w:rsidRPr="00D22D1B">
        <w:rPr>
          <w:rFonts w:ascii="Tahoma" w:hAnsi="Tahoma" w:cs="Tahoma"/>
          <w:i/>
          <w:sz w:val="20"/>
          <w:szCs w:val="20"/>
          <w:highlight w:val="yellow"/>
        </w:rPr>
        <w:t>1 No.lu KDV Beyannamesinde gösterilen ve mahsuben iade şartlarını taşıyan KDV iade alacağı, aynı döneme ilişkin 2 No.lu KDV Beyannamesine göre tahakkuk eden KDV borcuna mahsup edilebilecektir.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highlight w:val="yellow"/>
        </w:rPr>
        <w:t>Kısmi tevkifat uygulamasından kaynaklanan ve vergi inceleme raporuna göre sonuçlandırılan mahsuben iade taleplerinde, vergi inceleme raporu dışında diğer belgelerin tamamlanmış olması ve vergi inceleme raporunun olumlu gelmesi (rapor kısmen olumlu gelmişse olumlu gelen kısım itibariyle) kaydıyla iade talep dilekçesinin verildiği tarih itibariyle mahsup işlemi yapılacaktır. Bu durumda, mahsuben iade talep edilen vergi borcunun vade tarihinden vergi inceleme raporunun vergi dairesi kayıtlarına intikal ettiği tarihe kadar geçen süre için gecikme zammı hesaplanmayacaktır.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5.2.1.2. İade taleplerinde vergi daireleri; gerekli kontrolleri yaparak, belge ya da belgelerdeki muhteviyat eksikliklerinin tespiti halinde, eksiklikleri mükellefe yazı ile bildirecektir. Yazının tebliğ tarihinden itibaren 30 gün içerisinde eksiklikleri tamamlayan mükelleflerin VİR, YMM Raporu ve teminat istenmeyen mahsuben iade talepleri, mahsup dilekçesinin vergi dairesine verildiği tarih itibariyle yerine getirilecek ve bunlara gecikme zammı uygulanmayacaktır. 30 günlük ek süreden sonra eksikliklerini tamamlayan mükelleflerin mahsup talepleri ise eksikliklerin tamamlandığı tarih itibariyle yerine getirilecek ve borcun vadesinden mahsup tarihine kadar geçen süre için gecikme zammı uygulanacaktır.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5.2.1.3.</w:t>
      </w:r>
      <w:r w:rsidRPr="00D22D1B">
        <w:rPr>
          <w:rFonts w:ascii="Tahoma" w:hAnsi="Tahoma" w:cs="Tahoma"/>
          <w:b/>
          <w:i/>
          <w:sz w:val="20"/>
          <w:szCs w:val="20"/>
        </w:rPr>
        <w:t xml:space="preserve"> </w:t>
      </w:r>
      <w:r w:rsidRPr="00D22D1B">
        <w:rPr>
          <w:rFonts w:ascii="Tahoma" w:hAnsi="Tahoma" w:cs="Tahoma"/>
          <w:i/>
          <w:sz w:val="20"/>
          <w:szCs w:val="20"/>
        </w:rPr>
        <w:t>Bu Tebliğ kapsamında kısmi tevkifat uygulanan;</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Temizlik, bahçe ve çevre bakım hizmetleri,</w:t>
      </w:r>
    </w:p>
    <w:p w:rsidR="00653DF1" w:rsidRDefault="00653DF1" w:rsidP="00D22D1B">
      <w:pPr>
        <w:spacing w:before="100" w:beforeAutospacing="1" w:after="100" w:afterAutospacing="1" w:line="240" w:lineRule="exact"/>
        <w:ind w:firstLine="567"/>
        <w:jc w:val="both"/>
        <w:rPr>
          <w:rFonts w:ascii="Tahoma" w:hAnsi="Tahoma" w:cs="Tahoma"/>
          <w:i/>
          <w:sz w:val="20"/>
          <w:szCs w:val="20"/>
        </w:rPr>
      </w:pP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Makine, teçhizat, demirbaş ve taşıtlara ait tadil, bakım ve onarım hizmetleri,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Her türlü yemek servisi ve organizasyon hizmetleri,</w:t>
      </w:r>
    </w:p>
    <w:p w:rsidR="00D92768" w:rsidRDefault="00D92768" w:rsidP="00D22D1B">
      <w:pPr>
        <w:spacing w:before="100" w:beforeAutospacing="1" w:after="100" w:afterAutospacing="1" w:line="240" w:lineRule="exact"/>
        <w:ind w:firstLine="567"/>
        <w:jc w:val="both"/>
        <w:rPr>
          <w:rFonts w:ascii="Tahoma" w:hAnsi="Tahoma" w:cs="Tahoma"/>
          <w:i/>
          <w:sz w:val="20"/>
          <w:szCs w:val="20"/>
        </w:rPr>
      </w:pP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Etüt, plan-proje, danışmanlık, denetim ve benzeri hizmetler,</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Fason olarak yaptırılan tekstil ve konfeksiyon işleri ile fason ayakkabı ve çanta dikim işleri ve fason işlerle ilgili aracılık hizmetleri,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Yapı denetim hizmeti,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Servis taşımacılığı hizmeti,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Her türlü baskı ve basım hizmeti,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İşgücü temin hizmeti,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Turistik mağazalara verilen müşteri bulma/götürme hizmeti</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ile ilgili KDV iade alacaklarının mahsubunu isteyen mükelleflerin </w:t>
      </w:r>
      <w:r w:rsidRPr="00D22D1B">
        <w:rPr>
          <w:rFonts w:ascii="Tahoma" w:hAnsi="Tahoma" w:cs="Tahoma"/>
          <w:i/>
          <w:sz w:val="20"/>
          <w:szCs w:val="20"/>
          <w:highlight w:val="yellow"/>
        </w:rPr>
        <w:t>4.000</w:t>
      </w:r>
      <w:r w:rsidRPr="00D22D1B">
        <w:rPr>
          <w:rFonts w:ascii="Tahoma" w:hAnsi="Tahoma" w:cs="Tahoma"/>
          <w:i/>
          <w:sz w:val="20"/>
          <w:szCs w:val="20"/>
        </w:rPr>
        <w:t>-;yi aşmayan mahsup talepleri VİR, YMM raporu ve teminat aranılmaksızın yerine getirilir.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highlight w:val="yellow"/>
        </w:rPr>
        <w:t>4.000</w:t>
      </w:r>
      <w:r w:rsidRPr="00D22D1B">
        <w:rPr>
          <w:rFonts w:ascii="Tahoma" w:hAnsi="Tahoma" w:cs="Tahoma"/>
          <w:i/>
          <w:sz w:val="20"/>
          <w:szCs w:val="20"/>
        </w:rPr>
        <w:t xml:space="preserve"> ¨ ve üzerindeki mahsuben iade talepleri ise sadece teminat ve/veya VİR sonucuna göre yerine getirilir. </w:t>
      </w:r>
      <w:r w:rsidRPr="00D22D1B">
        <w:rPr>
          <w:rFonts w:ascii="Tahoma" w:hAnsi="Tahoma" w:cs="Tahoma"/>
          <w:i/>
          <w:sz w:val="20"/>
          <w:szCs w:val="20"/>
          <w:highlight w:val="yellow"/>
        </w:rPr>
        <w:t>4.000</w:t>
      </w:r>
      <w:r w:rsidRPr="00D22D1B">
        <w:rPr>
          <w:rFonts w:ascii="Tahoma" w:hAnsi="Tahoma" w:cs="Tahoma"/>
          <w:i/>
          <w:sz w:val="20"/>
          <w:szCs w:val="20"/>
        </w:rPr>
        <w:t xml:space="preserve"> ¨’yi aşan kısım için teminat verilmesi halinde teminat, VİR ile çözülür.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5.2.1.4. Bu Tebliğ kapsamında kısmi tevkifat uygulanan;</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Yapım işleri ile bu işlerle birlikte ifa edilen mühendislik-mimarlık ve etüt-proje hizmetleri,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Spor kulüplerinin yayın, isim hakkı ve reklâm gelirlerine konu işlemleri,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Tebliğin (3.2.13) bölümü kapsamındaki hizmetler,</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Külçe metal teslimleri,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xml:space="preserve">- Bakır, çinko, alüminyum </w:t>
      </w:r>
      <w:r w:rsidRPr="00D22D1B">
        <w:rPr>
          <w:rFonts w:ascii="Tahoma" w:hAnsi="Tahoma" w:cs="Tahoma"/>
          <w:i/>
          <w:sz w:val="20"/>
          <w:szCs w:val="20"/>
          <w:highlight w:val="yellow"/>
        </w:rPr>
        <w:t>ve kurşun</w:t>
      </w:r>
      <w:r w:rsidRPr="00D22D1B">
        <w:rPr>
          <w:rFonts w:ascii="Tahoma" w:hAnsi="Tahoma" w:cs="Tahoma"/>
          <w:i/>
          <w:sz w:val="20"/>
          <w:szCs w:val="20"/>
        </w:rPr>
        <w:t xml:space="preserve"> ürünlerinin teslimi,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xml:space="preserve">- Metal, plastik, </w:t>
      </w:r>
      <w:r w:rsidRPr="00D22D1B">
        <w:rPr>
          <w:rFonts w:ascii="Tahoma" w:hAnsi="Tahoma" w:cs="Tahoma"/>
          <w:i/>
          <w:sz w:val="20"/>
          <w:szCs w:val="20"/>
          <w:highlight w:val="yellow"/>
        </w:rPr>
        <w:t>kauçuk,</w:t>
      </w:r>
      <w:r w:rsidRPr="00D22D1B">
        <w:rPr>
          <w:rFonts w:ascii="Tahoma" w:hAnsi="Tahoma" w:cs="Tahoma"/>
          <w:i/>
          <w:sz w:val="20"/>
          <w:szCs w:val="20"/>
        </w:rPr>
        <w:t xml:space="preserve"> kâğıt, cam hurda ve atıklarının teslimi,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Metal, plastik, lastik, kauçuk, kâğıt ve cam hurda ve atıklarından elde edilen hammadde teslimi,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Pamuk, tiftik, yün ve yapağı ile ham post ve deri teslimi,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Ağaç ve orman ürünleri teslimi</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 xml:space="preserve">ile ilgili </w:t>
      </w:r>
      <w:r w:rsidRPr="00D22D1B">
        <w:rPr>
          <w:rFonts w:ascii="Tahoma" w:hAnsi="Tahoma" w:cs="Tahoma"/>
          <w:i/>
          <w:sz w:val="20"/>
          <w:szCs w:val="20"/>
          <w:highlight w:val="yellow"/>
        </w:rPr>
        <w:t>4.000</w:t>
      </w:r>
      <w:r w:rsidRPr="00D22D1B">
        <w:rPr>
          <w:rFonts w:ascii="Tahoma" w:hAnsi="Tahoma" w:cs="Tahoma"/>
          <w:i/>
          <w:sz w:val="20"/>
          <w:szCs w:val="20"/>
        </w:rPr>
        <w:t xml:space="preserve"> ¨’yi aşmayan mahsuben iade talepleri VİR, YMM raporu ve teminat aranılmaksızın yerine getirilir.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highlight w:val="yellow"/>
        </w:rPr>
        <w:t>4.000</w:t>
      </w:r>
      <w:r w:rsidRPr="00D22D1B">
        <w:rPr>
          <w:rFonts w:ascii="Tahoma" w:hAnsi="Tahoma" w:cs="Tahoma"/>
          <w:i/>
          <w:sz w:val="20"/>
          <w:szCs w:val="20"/>
        </w:rPr>
        <w:t xml:space="preserve"> ¨ ve üzerindeki iade talepleri ise VİR sonucuna göre veya YMM raporu ile yerine getirilir. </w:t>
      </w:r>
      <w:r w:rsidRPr="00D22D1B">
        <w:rPr>
          <w:rFonts w:ascii="Tahoma" w:hAnsi="Tahoma" w:cs="Tahoma"/>
          <w:i/>
          <w:sz w:val="20"/>
          <w:szCs w:val="20"/>
          <w:highlight w:val="yellow"/>
        </w:rPr>
        <w:t>4.000</w:t>
      </w:r>
      <w:r w:rsidRPr="00D22D1B">
        <w:rPr>
          <w:rFonts w:ascii="Tahoma" w:hAnsi="Tahoma" w:cs="Tahoma"/>
          <w:i/>
          <w:sz w:val="20"/>
          <w:szCs w:val="20"/>
        </w:rPr>
        <w:t xml:space="preserve"> ¨’yi aşan kısım için teminat verilmesi halinde teminat, VİR sonucuna göre veya YMM raporu ile çözülür.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lastRenderedPageBreak/>
        <w:t>5.2.2. NAKDEN İADE TALEPLERİ</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Mükellefin talebi halinde, kısmi tevkifat uygulaması kapsamına giren işlemlerden kaynaklanan iade alacaklarının aşağıda her bir işlem türüne ilişkin olarak yapılan belirlemeler dahilinde nakden iadesi mümkündür.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5.2.2.1.</w:t>
      </w:r>
      <w:r w:rsidRPr="00D22D1B">
        <w:rPr>
          <w:rFonts w:ascii="Tahoma" w:hAnsi="Tahoma" w:cs="Tahoma"/>
          <w:b/>
          <w:i/>
          <w:sz w:val="20"/>
          <w:szCs w:val="20"/>
        </w:rPr>
        <w:t xml:space="preserve"> </w:t>
      </w:r>
      <w:r w:rsidRPr="00D22D1B">
        <w:rPr>
          <w:rFonts w:ascii="Tahoma" w:hAnsi="Tahoma" w:cs="Tahoma"/>
          <w:i/>
          <w:sz w:val="20"/>
          <w:szCs w:val="20"/>
        </w:rPr>
        <w:t>Bu Tebliğ kapsamında kısmi tevkifat uygulanan;</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Temizlik, bahçe ve çevre bakım hizmetleri,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Makine, teçhizat, demirbaş ve taşıtlara ait tadil, bakım ve onarım hizmetleri,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Her türlü yemek servisi ve organizasyon hizmetleri,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Etüt, plan-proje, danışmanlık, denetim ve benzeri hizmetler,</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Fason olarak yaptırılan tekstil ve konfeksiyon işleri ile fason ayakkabı ve çanta dikim işleri ve fason işlerle ilgili aracılık hizmetleri,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Yapı denetim hizmeti,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Servis taşımacılığı hizmeti,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Her türlü baskı ve basım hizmeti,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İşgücü temin hizmeti,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Turistik mağazalara verilen müşteri bulma/götürme hizmeti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ile ilgili nakden iade talepleri münhasıran teminat ve/veya VİR ile yerine getirilecektir.</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İade talebinin tamamı kadar teminat verilmesi halinde teminat, münhasıran VİR sonucuna göre çözülür.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5.2.2.2.</w:t>
      </w:r>
      <w:r w:rsidRPr="00D22D1B">
        <w:rPr>
          <w:rFonts w:ascii="Tahoma" w:hAnsi="Tahoma" w:cs="Tahoma"/>
          <w:b/>
          <w:i/>
          <w:sz w:val="20"/>
          <w:szCs w:val="20"/>
        </w:rPr>
        <w:t xml:space="preserve"> </w:t>
      </w:r>
      <w:r w:rsidRPr="00D22D1B">
        <w:rPr>
          <w:rFonts w:ascii="Tahoma" w:hAnsi="Tahoma" w:cs="Tahoma"/>
          <w:i/>
          <w:sz w:val="20"/>
          <w:szCs w:val="20"/>
        </w:rPr>
        <w:t>Bu Tebliğ kapsamında kısmi tevkifat uygulanan;</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Yapım işleri ile bu işlerle birlikte ifa edilen mühendislik-mimarlık ve etüt-proje hizmetleri,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Spor kulüplerinin yayın, isim hakkı ve reklâm gelirlerine konu işlemleri,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Tebliğin (3.2.13) bölümü kapsamındaki hizmetler,</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Külçe metal teslimi,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xml:space="preserve">- Bakır, çinko,  alüminyum ve </w:t>
      </w:r>
      <w:r w:rsidRPr="00D22D1B">
        <w:rPr>
          <w:rFonts w:ascii="Tahoma" w:hAnsi="Tahoma" w:cs="Tahoma"/>
          <w:i/>
          <w:sz w:val="20"/>
          <w:szCs w:val="20"/>
          <w:highlight w:val="yellow"/>
        </w:rPr>
        <w:t>kurşun</w:t>
      </w:r>
      <w:r w:rsidRPr="00D22D1B">
        <w:rPr>
          <w:rFonts w:ascii="Tahoma" w:hAnsi="Tahoma" w:cs="Tahoma"/>
          <w:i/>
          <w:sz w:val="20"/>
          <w:szCs w:val="20"/>
        </w:rPr>
        <w:t xml:space="preserve"> ürünlerinin teslimi,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Metal, plastik, lastik, kauçuk, kâğıt, cam hurda ve atıklarının teslimi,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Metal, plastik, lastik, kauçuk, kâğıt ve cam hurda ve atıklarından elde edilen hammadde teslimi,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Pamuk, tiftik, yün ve yapağı ile ham post ve deri teslimi,</w:t>
      </w:r>
    </w:p>
    <w:p w:rsidR="00D22D1B" w:rsidRPr="00D22D1B" w:rsidRDefault="00D22D1B" w:rsidP="00D22D1B">
      <w:pPr>
        <w:spacing w:before="100" w:beforeAutospacing="1" w:after="100" w:afterAutospacing="1" w:line="240" w:lineRule="exact"/>
        <w:ind w:firstLine="567"/>
        <w:jc w:val="both"/>
        <w:rPr>
          <w:rFonts w:ascii="Tahoma" w:hAnsi="Tahoma" w:cs="Tahoma"/>
          <w:i/>
          <w:sz w:val="20"/>
          <w:szCs w:val="20"/>
        </w:rPr>
      </w:pPr>
      <w:r w:rsidRPr="00D22D1B">
        <w:rPr>
          <w:rFonts w:ascii="Tahoma" w:hAnsi="Tahoma" w:cs="Tahoma"/>
          <w:i/>
          <w:sz w:val="20"/>
          <w:szCs w:val="20"/>
        </w:rPr>
        <w:t>- Ağaç ve orman ürünleri teslimi</w:t>
      </w:r>
    </w:p>
    <w:p w:rsidR="00D92768" w:rsidRDefault="00D92768" w:rsidP="00D22D1B">
      <w:pPr>
        <w:spacing w:before="100" w:beforeAutospacing="1" w:after="100" w:afterAutospacing="1" w:line="240" w:lineRule="exact"/>
        <w:jc w:val="both"/>
        <w:rPr>
          <w:rFonts w:ascii="Tahoma" w:hAnsi="Tahoma" w:cs="Tahoma"/>
          <w:i/>
          <w:sz w:val="20"/>
          <w:szCs w:val="20"/>
        </w:rPr>
      </w:pP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lastRenderedPageBreak/>
        <w:t xml:space="preserve">ile ilgili </w:t>
      </w:r>
      <w:r w:rsidRPr="00D22D1B">
        <w:rPr>
          <w:rFonts w:ascii="Tahoma" w:hAnsi="Tahoma" w:cs="Tahoma"/>
          <w:i/>
          <w:sz w:val="20"/>
          <w:szCs w:val="20"/>
          <w:highlight w:val="yellow"/>
        </w:rPr>
        <w:t>4.000</w:t>
      </w:r>
      <w:r w:rsidRPr="00D22D1B">
        <w:rPr>
          <w:rFonts w:ascii="Tahoma" w:hAnsi="Tahoma" w:cs="Tahoma"/>
          <w:i/>
          <w:sz w:val="20"/>
          <w:szCs w:val="20"/>
        </w:rPr>
        <w:t xml:space="preserve"> ’yi aşmayan nakden iade talepleri teminat, VİR ve YMM raporu aranılmadan yerine getirilir.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highlight w:val="yellow"/>
        </w:rPr>
        <w:t>4.000</w:t>
      </w:r>
      <w:r w:rsidRPr="00D22D1B">
        <w:rPr>
          <w:rFonts w:ascii="Tahoma" w:hAnsi="Tahoma" w:cs="Tahoma"/>
          <w:i/>
          <w:sz w:val="20"/>
          <w:szCs w:val="20"/>
        </w:rPr>
        <w:t xml:space="preserve">  ve üzerindeki iade talepleri ise VİR sonucuna göre veya YMM raporu ile yerine getirilir. </w:t>
      </w:r>
      <w:r w:rsidRPr="00D22D1B">
        <w:rPr>
          <w:rFonts w:ascii="Tahoma" w:hAnsi="Tahoma" w:cs="Tahoma"/>
          <w:i/>
          <w:sz w:val="20"/>
          <w:szCs w:val="20"/>
          <w:highlight w:val="yellow"/>
        </w:rPr>
        <w:t>4.000</w:t>
      </w:r>
      <w:r w:rsidRPr="00D22D1B">
        <w:rPr>
          <w:rFonts w:ascii="Tahoma" w:hAnsi="Tahoma" w:cs="Tahoma"/>
          <w:i/>
          <w:sz w:val="20"/>
          <w:szCs w:val="20"/>
        </w:rPr>
        <w:t xml:space="preserve"> ’yi aşan kısım için teminat verilmesi halinde teminat, VİR sonucuna göre veya YMM raporu ile çözülür.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b/>
          <w:i/>
          <w:sz w:val="20"/>
          <w:szCs w:val="20"/>
        </w:rPr>
        <w:t>5.3. İADE UYGULAMASI İLE İLGİLİ DİĞER HUSUSLAR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5.3.1. Kısmi tevkifat uygulamasından kaynaklanan iade taleplerinin yerine getirilmesi ile ilgili olarak bu Tebliğde açıklama bulunmayan durumlarda, KDV Kanununun (11/1-a) maddesinde düzenlenen gümrük beyannameli mal ihracından kaynaklanan iade talepleri için geçerli olan usul ve esaslara (indirimli teminat uygulaması hariç) göre işlem yapılacaktır.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5.3.2. Mükelleflerin tevkifat uygulaması kapsamındaki işler dolayısıyla alıcı tarafından tevkifata tabi tutulan KDV’yi, ilgili dönemde iade konusu yapmama tercihinde bulunduktan sonra, izleyen dönemlerde bu tercihlerinden vazgeçerek iade talep etmeleri mümkündür. Ancak, tevkifatlı işlemin gerçekleştiği dönem için düzeltme beyannamesi verilecektir.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Aynı şekilde, mükelleflerin tevkifat uygulanan tutarı beyannamede iade olarak gösterdikten sonra, iade işlemi tamamlanıncaya kadar bu tercihlerinden vazgeçmeleri mümkündür. Bu durumda da iade beyanının yapıldığı dönem için düzeltme beyannamesi verilecektir.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Her iki durumun da bir dilekçe ile bağlı olunan vergi dairesine bildirilmesi gerekmektedir.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5.3.3. Aynı işlem dolayısıyla, tevkifat ve indirimli oran uygulamaları nedeniyle KDV iade alacağı doğmuşsa, öncelikle tevkifattan doğan KDV alacağı iade edilecektir.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Mükellefin aynı dönemde başka iade hakkı doğuran işlemlerinin bulunması halinde bu işlemlere ait iade talepleri, söz konusu işlem veya işlemlerle ilgili usul ve esaslar çerçevesinde sonuçlandırılacaktır.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Mükellefin aynı dönemde diğer iade hakkı doğuran işlemlerinin (indirimli orana tabi işlemler hariç) de bulunması ve iade edilmesi gereken KDV tutarının, tevkifat ve diğer iade hakkı doğuran işlemlere ilişkin iade beyanı toplamından küçük olması halinde, iade talepleri mükellefin işlem türü bazında tercihi doğrultusunda sonuçlandırılacaktır.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5.3.4. İade hakkı sahiplerince, iade alacaklarının mahsubundan sonra kalan kısmının nakden iadesinin istenmesi halinde, ilgili bölümlerde nakden iade için yapılan açıklamalara göre işlem yapılacaktır. Bu şekilde yapılacak iadede, mahsup yoluyla iade edilen kısım, teminatsız incelemesiz nakden iade için bir sınır belirlenmişse, belirlenen sınırın hesabında dikkate alınmayacaktır.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İade alacağının tamamının üçüncü kişilere nakden ödenmesinin talep edilmesi halinde, iade hakkı sahibi mükellefe nakden iadeye ilişkin usul ve esaslar uygulanacaktır. Bu durumda, alacağın üçüncü kişilere ödenmesine ilişkin talep, alacağın açık bir şekilde kime temlik edildiğini içeren, noter tarafından onaylanmış alacağın temliki sözleşmesi ile yapılacaktır. Mahsup sonrası alacağın, üçüncü kişilere nakden iadesinin talep edilmesi halinde de alacağın temlikine ilişkin talebin yukarıda belirtilen şekilde yapılması gerekmektedir.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İade alacağının, Tebliğin (5.2.1.) bölümünde belirtilmeyen; mükellefin kendisinin vergi dairesine olan borçlarına veya üçüncü kişilerin vergi dairesine olan borçlarına mahsubunun talep edilmesi halinde, iade hakkı sahibi mükellefe nakden iadeye ilişkin usul ve esaslar uygulanır. Üçüncü kişilerin vergi dairelerine olan borçlarına mahsubunun talep edilmesi halinde, önceki paragrafta yapılan açıklamalara göre işlem tesis edilecektir.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5.3.5. İade alacakları, her bir vergilendirme dönemi için ayrı ayrı talep edilecektir. Birden fazla döneme ilişkin iade alacaklarının, kümülatif hesaplama yapılmak suretiyle birlikte (toplam tutar olarak) iadesi talep edilemeyecektir.</w:t>
      </w:r>
    </w:p>
    <w:p w:rsidR="00D92768" w:rsidRDefault="00D92768" w:rsidP="00D22D1B">
      <w:pPr>
        <w:spacing w:before="100" w:beforeAutospacing="1" w:after="100" w:afterAutospacing="1" w:line="240" w:lineRule="exact"/>
        <w:jc w:val="both"/>
        <w:rPr>
          <w:rFonts w:ascii="Tahoma" w:hAnsi="Tahoma" w:cs="Tahoma"/>
          <w:i/>
          <w:sz w:val="20"/>
          <w:szCs w:val="20"/>
        </w:rPr>
      </w:pP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lastRenderedPageBreak/>
        <w:t>Öte yandan, birden fazla döneme ilişkin iade alacağının aynı dilekçe ile istenmesi mümkündür. Ancak bu durumda, her bir döneme ait iade talep tutarının ayrı ayrı olarak dilekçede belirtilmesi ve eklerin de her bir dönem için ayrı ayrı düzenlenmesi gerekmektedir.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İadenin YMM raporu verilmek suretiyle talep edildiği durumlarda, aynı takvim yılı içinde bulunmak ve her bir vergilendirme dönemine ait iade tutarı ayrı ayrı belirtilmek/hesaplanmak, istenilen bilgilere her bir dönem itibariyle ayrı ayrı yer verilmek koşuluyla birden fazla vergilendirme dönemi için tek bir YMM raporu verilmesi mümkündür.</w:t>
      </w:r>
    </w:p>
    <w:p w:rsidR="00D22D1B" w:rsidRPr="00D22D1B" w:rsidRDefault="00D22D1B" w:rsidP="00D22D1B">
      <w:pPr>
        <w:spacing w:before="100" w:beforeAutospacing="1" w:after="100" w:afterAutospacing="1" w:line="240" w:lineRule="exact"/>
        <w:jc w:val="both"/>
        <w:rPr>
          <w:rFonts w:ascii="Tahoma" w:hAnsi="Tahoma" w:cs="Tahoma"/>
          <w:i/>
          <w:sz w:val="20"/>
          <w:szCs w:val="20"/>
        </w:rPr>
      </w:pPr>
      <w:r w:rsidRPr="00D22D1B">
        <w:rPr>
          <w:rFonts w:ascii="Tahoma" w:hAnsi="Tahoma" w:cs="Tahoma"/>
          <w:i/>
          <w:sz w:val="20"/>
          <w:szCs w:val="20"/>
        </w:rPr>
        <w:t>5.3.6.  İade alacağının YMM raporu ile alınmak istendiği hallerde, esas itibariyle, YMM raporunun her bir iade hakkı doğuran işlem türü itibariyle ayrı ayrı düzenlenerek verilmesi gerekmektedir. Ancak, farklı iade hakkı doğuran işlemlerden (tam istisna kapsamındaki işlemler, indirimli orana tabi işlemler, kısmi tevkifat uygulaması kapsamındaki işlemler gibi) kaynaklanan iade taleplerinin, aynı vergilendirme dönemine ilişkin olması kaydıyla, aynı YMM raporuna istinaden sonuçlandırılması mümkündür. Bu durumda YMM raporu, her bir işlem türüne ait iade tutarı ayrı ayrı belirtilmek/hesaplanmak, istenilen bilgilere ayrı ayrı yer verilmek ve benzeri hususlara dikkat edilmek suretiyle hazırlanacaktır.”</w:t>
      </w:r>
    </w:p>
    <w:p w:rsidR="00D22D1B" w:rsidRPr="000B70F7" w:rsidRDefault="00D22D1B" w:rsidP="00D22D1B">
      <w:pPr>
        <w:rPr>
          <w:i/>
        </w:rPr>
      </w:pPr>
    </w:p>
    <w:p w:rsidR="00DC062B" w:rsidRDefault="00CE46CC" w:rsidP="00D22D1B">
      <w:pPr>
        <w:spacing w:line="240" w:lineRule="atLeast"/>
        <w:jc w:val="both"/>
        <w:rPr>
          <w:rFonts w:ascii="Tahoma" w:hAnsi="Tahoma" w:cs="Tahoma"/>
          <w:sz w:val="20"/>
          <w:szCs w:val="20"/>
        </w:rPr>
      </w:pPr>
      <w:r>
        <w:rPr>
          <w:rFonts w:ascii="Tahoma" w:hAnsi="Tahoma" w:cs="Tahoma"/>
          <w:sz w:val="20"/>
          <w:szCs w:val="20"/>
        </w:rPr>
        <w:t>S</w:t>
      </w:r>
      <w:r w:rsidR="008C5B90" w:rsidRPr="00AC2D96">
        <w:rPr>
          <w:rFonts w:ascii="Tahoma" w:hAnsi="Tahoma" w:cs="Tahoma"/>
          <w:sz w:val="20"/>
          <w:szCs w:val="20"/>
        </w:rPr>
        <w:t>aygılarımızla,</w:t>
      </w:r>
    </w:p>
    <w:p w:rsidR="00DC062B" w:rsidRDefault="00DC062B" w:rsidP="00AC2D96">
      <w:pPr>
        <w:spacing w:before="100" w:beforeAutospacing="1" w:after="100" w:afterAutospacing="1" w:line="240" w:lineRule="exact"/>
        <w:jc w:val="both"/>
        <w:rPr>
          <w:rFonts w:ascii="Tahoma" w:hAnsi="Tahoma" w:cs="Tahoma"/>
          <w:sz w:val="20"/>
          <w:szCs w:val="20"/>
        </w:rPr>
      </w:pPr>
    </w:p>
    <w:p w:rsidR="00D71CE0" w:rsidRDefault="00D71CE0" w:rsidP="0052104C">
      <w:pPr>
        <w:spacing w:before="100" w:beforeAutospacing="1" w:after="100" w:afterAutospacing="1" w:line="240" w:lineRule="exact"/>
        <w:jc w:val="both"/>
        <w:rPr>
          <w:rFonts w:ascii="Tahoma" w:hAnsi="Tahoma" w:cs="Tahoma"/>
          <w:sz w:val="18"/>
          <w:szCs w:val="18"/>
        </w:rPr>
      </w:pPr>
    </w:p>
    <w:p w:rsidR="00CD3442" w:rsidRDefault="00CD3442"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Default="00653DF1" w:rsidP="0052104C">
      <w:pPr>
        <w:spacing w:before="100" w:beforeAutospacing="1" w:after="100" w:afterAutospacing="1" w:line="240" w:lineRule="exact"/>
        <w:jc w:val="both"/>
        <w:rPr>
          <w:rFonts w:ascii="Tahoma" w:hAnsi="Tahoma" w:cs="Tahoma"/>
          <w:sz w:val="18"/>
          <w:szCs w:val="18"/>
        </w:rPr>
      </w:pPr>
    </w:p>
    <w:p w:rsidR="00653DF1" w:rsidRPr="007538AC" w:rsidRDefault="00653DF1" w:rsidP="00653DF1">
      <w:pPr>
        <w:tabs>
          <w:tab w:val="left" w:pos="3039"/>
          <w:tab w:val="left" w:pos="5970"/>
        </w:tabs>
        <w:spacing w:before="100" w:beforeAutospacing="1" w:after="100" w:afterAutospacing="1"/>
        <w:ind w:left="108"/>
        <w:rPr>
          <w:sz w:val="20"/>
          <w:szCs w:val="20"/>
          <w:lang w:eastAsia="tr-TR"/>
        </w:rPr>
      </w:pPr>
      <w:r>
        <w:rPr>
          <w:sz w:val="20"/>
          <w:szCs w:val="20"/>
          <w:lang w:eastAsia="tr-TR"/>
        </w:rPr>
        <w:t xml:space="preserve">        </w:t>
      </w:r>
      <w:r w:rsidRPr="007538AC">
        <w:rPr>
          <w:sz w:val="20"/>
          <w:szCs w:val="20"/>
          <w:lang w:eastAsia="tr-TR"/>
        </w:rPr>
        <w:t>26 Şubat 2013  SALI</w:t>
      </w:r>
      <w:r w:rsidRPr="007538AC">
        <w:rPr>
          <w:sz w:val="20"/>
          <w:szCs w:val="20"/>
          <w:lang w:eastAsia="tr-TR"/>
        </w:rPr>
        <w:tab/>
      </w:r>
      <w:r w:rsidRPr="007538AC">
        <w:rPr>
          <w:b/>
          <w:sz w:val="20"/>
          <w:szCs w:val="20"/>
          <w:lang w:eastAsia="tr-TR"/>
        </w:rPr>
        <w:t>Resmî Gazete</w:t>
      </w:r>
      <w:r w:rsidRPr="007538AC">
        <w:rPr>
          <w:sz w:val="20"/>
          <w:szCs w:val="20"/>
          <w:lang w:eastAsia="tr-TR"/>
        </w:rPr>
        <w:tab/>
        <w:t>Sayı : 28571</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u w:val="single"/>
          <w:lang w:eastAsia="tr-TR"/>
        </w:rPr>
        <w:t>Maliye Bakanlığından:</w:t>
      </w:r>
    </w:p>
    <w:p w:rsidR="00653DF1" w:rsidRPr="007538AC" w:rsidRDefault="00653DF1" w:rsidP="00653DF1">
      <w:pPr>
        <w:spacing w:before="100" w:beforeAutospacing="1" w:after="100" w:afterAutospacing="1" w:line="240" w:lineRule="exact"/>
        <w:jc w:val="center"/>
        <w:rPr>
          <w:sz w:val="20"/>
          <w:szCs w:val="20"/>
          <w:lang w:eastAsia="tr-TR"/>
        </w:rPr>
      </w:pPr>
      <w:r w:rsidRPr="007538AC">
        <w:rPr>
          <w:b/>
          <w:sz w:val="20"/>
          <w:szCs w:val="20"/>
          <w:lang w:eastAsia="tr-TR"/>
        </w:rPr>
        <w:t>KATMA DEĞER VERGİSİ GENEL TEBLİĞİ</w:t>
      </w:r>
    </w:p>
    <w:p w:rsidR="00653DF1" w:rsidRPr="007538AC" w:rsidRDefault="00653DF1" w:rsidP="00653DF1">
      <w:pPr>
        <w:spacing w:before="100" w:beforeAutospacing="1" w:after="100" w:afterAutospacing="1" w:line="240" w:lineRule="exact"/>
        <w:jc w:val="center"/>
        <w:rPr>
          <w:sz w:val="20"/>
          <w:szCs w:val="20"/>
          <w:lang w:eastAsia="tr-TR"/>
        </w:rPr>
      </w:pPr>
      <w:r w:rsidRPr="007538AC">
        <w:rPr>
          <w:b/>
          <w:sz w:val="20"/>
          <w:szCs w:val="20"/>
          <w:lang w:eastAsia="tr-TR"/>
        </w:rPr>
        <w:t>(SERİ NO: 122)</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3065 sayılı Katma Değer Vergisi (KDV) Kanununun 9 uncu maddesinin birinci fıkrasının verdiği yetki çerçevesinde 1/3/2013 tarihinden itibaren geçerli olmak üzere aşağıdaki açıklama ve düzenlemelerin yapılmasına gerek duyulmuştur.</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1. 117 Seri No.lu KDV Genel Tebliğinin;</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 (3.3.1.) bölümünde yer alan “bakır, çinko ve alüminyum” ibareleri “bakır, çinko, alüminyum ve kurşun”,</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 (3.3.2.) bölümünün başlığı “3.3.2. BAKIR, ÇİNKO, ALÜMİNYUM VE KURŞUN ÜRÜNLERİNİN TESLİMİ”,</w:t>
      </w:r>
    </w:p>
    <w:p w:rsidR="00653DF1"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 (3.3.2.1.) bölümünün birinci paragrafı, “Bakır ve alaşımlarından, çinko ve alaşımlarından, alüminyum ve alaşımlarından, kurşun ve alaşımlarından mamul, Tebliğin (3.3.2.2.) bölümünde belirtilen ürünlerin Tebliğin (3.1.2.) bölümünde sayılanlara tesliminde, (5/10) oranında KDV tevkifatı uygulanacaktır</w:t>
      </w:r>
    </w:p>
    <w:p w:rsidR="00653DF1" w:rsidRPr="007538AC" w:rsidRDefault="00653DF1" w:rsidP="00653DF1">
      <w:pPr>
        <w:spacing w:before="100" w:beforeAutospacing="1" w:after="100" w:afterAutospacing="1" w:line="240" w:lineRule="exact"/>
        <w:ind w:firstLine="566"/>
        <w:rPr>
          <w:sz w:val="20"/>
          <w:szCs w:val="20"/>
          <w:lang w:eastAsia="tr-TR"/>
        </w:rPr>
      </w:pPr>
      <w:bookmarkStart w:id="0" w:name="_GoBack"/>
      <w:bookmarkEnd w:id="0"/>
      <w:r w:rsidRPr="007538AC">
        <w:rPr>
          <w:sz w:val="20"/>
          <w:szCs w:val="20"/>
          <w:lang w:eastAsia="tr-TR"/>
        </w:rPr>
        <w:t xml:space="preserve">.”, </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 xml:space="preserve">- (3.3.2.2.2.) bölümünde yer alan “Bakır, çinko ve alüminyum” ibareleri “Bakır, çinko, alüminyum ve kurşun” </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şeklinde, (3.3.2.2.1.) bölümünün birinci paragrafı ise aşağıdaki şekilde değiştirilmiştir.</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 xml:space="preserve"> “Tevkifat kapsamına bakır ve alaşımlarından, çinko ve alaşımlarından, alüminyum ve alaşımlarından, kurşun ve alaşımlarından mamul; anot, katot, granül, filmaşin, profil, levha, tabaka, rulo, şerit, panel, sac, boru, pirinç çubuk, lama, her türlü tel ve benzerleri ile kurşun ve alaşımlarından mamul, tuğla, mühür, yaprak, plaka, folyo, pul, saçma, ızgara, toz, kurşun oksit, kurşun monoksit, kırmızı oksit ve benzerleri girmektedir.”</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2. 117 Seri No.lu KDV Genel Tebliğinin;</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 xml:space="preserve">- (3.3.3.1.) ve (3.3.6.1.) bölümleri ile (3.3.3.2.2.) bölümünde yer alan Örnek 2’deki (9/10) oranları (5/10), </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- 1/3/2013 tarihinden itibaren yapılacak iade taleplerine uygulanmak üzere (5.2.1.) ve (5.2.2.) bölümlerindeki (2.000 TL) tutarları (4.000 TL),</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 (5.2.1.4.) ve (5.2.2.2.) bölümlerindeki “Bakır, çinko ve alüminyum ürünlerinin teslimi,” ibareleri “Bakır, çinko, alüminyum ve kurşun ürünlerinin teslimi”,</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 (5.2.1.4.) bölümündeki “Metal, plastik, kağıt, cam hurda ve atıklarının teslimi” ibaresi “Metal, plastik, lastik, kauçuk, kağıt, cam hurda ve atıklarının teslimi”,</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şeklinde değiştirilmiştir.</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3. 117 Seri No.lu KDV Genel Tebliğinin (5.2.1.1.) bölümünün sonuna aşağıdaki paragraflar eklenmiştir:</w:t>
      </w:r>
    </w:p>
    <w:p w:rsidR="00653DF1" w:rsidRDefault="00653DF1" w:rsidP="00653DF1">
      <w:pPr>
        <w:spacing w:before="100" w:beforeAutospacing="1" w:after="100" w:afterAutospacing="1" w:line="240" w:lineRule="exact"/>
        <w:ind w:firstLine="566"/>
        <w:rPr>
          <w:sz w:val="20"/>
          <w:szCs w:val="20"/>
          <w:lang w:eastAsia="tr-TR"/>
        </w:rPr>
      </w:pPr>
    </w:p>
    <w:p w:rsidR="00653DF1" w:rsidRDefault="00653DF1" w:rsidP="00653DF1">
      <w:pPr>
        <w:spacing w:before="100" w:beforeAutospacing="1" w:after="100" w:afterAutospacing="1" w:line="240" w:lineRule="exact"/>
        <w:ind w:firstLine="566"/>
        <w:rPr>
          <w:sz w:val="20"/>
          <w:szCs w:val="20"/>
          <w:lang w:eastAsia="tr-TR"/>
        </w:rPr>
      </w:pP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“1 No.lu KDV Beyannamesinde gösterilen ve mahsuben iade şartlarını taşıyan KDV iade alacağı, aynı döneme ilişkin 2 No.lu KDV Beyannamesine göre tahakkuk eden KDV borcuna mahsup edilebilecektir.</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Kısmi tevkifat uygulamasından kaynaklanan ve vergi inceleme raporuna göre sonuçlandırılan mahsuben iade taleplerinde, vergi inceleme raporu dışında diğer belgelerin tamamlanmış olması ve vergi inceleme raporunun olumlu gelmesi (rapor kısmen olumlu gelmişse olumlu gelen kısım itibariyle) kaydıyla iade talep dilekçesinin verildiği tarih itibariyle mahsup işlemi yapılacaktır. Bu durumda, mahsuben iade talep edilen vergi borcunun vade tarihinden vergi inceleme raporunun vergi dairesi kayıtlarına intikal ettiği tarihe kadar geçen süre için gecikme zammı hesaplanmayacaktır.”</w:t>
      </w:r>
    </w:p>
    <w:p w:rsidR="00653DF1" w:rsidRPr="007538AC" w:rsidRDefault="00653DF1" w:rsidP="00653DF1">
      <w:pPr>
        <w:spacing w:before="100" w:beforeAutospacing="1" w:after="100" w:afterAutospacing="1" w:line="240" w:lineRule="exact"/>
        <w:ind w:firstLine="566"/>
        <w:rPr>
          <w:sz w:val="20"/>
          <w:szCs w:val="20"/>
          <w:lang w:eastAsia="tr-TR"/>
        </w:rPr>
      </w:pPr>
      <w:r w:rsidRPr="007538AC">
        <w:rPr>
          <w:sz w:val="20"/>
          <w:szCs w:val="20"/>
          <w:lang w:eastAsia="tr-TR"/>
        </w:rPr>
        <w:t>Tebliğ olunur.</w:t>
      </w:r>
    </w:p>
    <w:p w:rsidR="00653DF1" w:rsidRDefault="00653DF1" w:rsidP="00653DF1">
      <w:pPr>
        <w:spacing w:before="100" w:beforeAutospacing="1" w:after="100" w:afterAutospacing="1" w:line="240" w:lineRule="exact"/>
        <w:jc w:val="both"/>
        <w:rPr>
          <w:rFonts w:ascii="Tahoma" w:hAnsi="Tahoma" w:cs="Tahoma"/>
          <w:sz w:val="18"/>
          <w:szCs w:val="18"/>
        </w:rPr>
      </w:pPr>
    </w:p>
    <w:sectPr w:rsidR="00653DF1"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A4" w:rsidRDefault="005461A4" w:rsidP="00053CFC">
      <w:r>
        <w:separator/>
      </w:r>
    </w:p>
  </w:endnote>
  <w:endnote w:type="continuationSeparator" w:id="0">
    <w:p w:rsidR="005461A4" w:rsidRDefault="005461A4"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34AC6">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19050" t="0" r="0" b="0"/>
          <wp:wrapTight wrapText="bothSides">
            <wp:wrapPolygon edited="0">
              <wp:start x="-53" y="0"/>
              <wp:lineTo x="-53" y="21212"/>
              <wp:lineTo x="21588" y="21212"/>
              <wp:lineTo x="21588" y="0"/>
              <wp:lineTo x="-53"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A4" w:rsidRDefault="005461A4" w:rsidP="00053CFC">
      <w:r>
        <w:separator/>
      </w:r>
    </w:p>
  </w:footnote>
  <w:footnote w:type="continuationSeparator" w:id="0">
    <w:p w:rsidR="005461A4" w:rsidRDefault="005461A4"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34AC6"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34AC6">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1905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55EA"/>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1A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3DF1"/>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26A"/>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34B9B"/>
    <w:rsid w:val="0094412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2DCA"/>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45B"/>
    <w:rsid w:val="00BC3DD0"/>
    <w:rsid w:val="00BC4897"/>
    <w:rsid w:val="00BC6B30"/>
    <w:rsid w:val="00BD08B9"/>
    <w:rsid w:val="00BD0E83"/>
    <w:rsid w:val="00BD3B5B"/>
    <w:rsid w:val="00BD4C6E"/>
    <w:rsid w:val="00BD5A0F"/>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364A"/>
    <w:rsid w:val="00CC5656"/>
    <w:rsid w:val="00CC60A1"/>
    <w:rsid w:val="00CC703C"/>
    <w:rsid w:val="00CC71DB"/>
    <w:rsid w:val="00CD025A"/>
    <w:rsid w:val="00CD0328"/>
    <w:rsid w:val="00CD0D74"/>
    <w:rsid w:val="00CD2394"/>
    <w:rsid w:val="00CD3442"/>
    <w:rsid w:val="00CD5CF9"/>
    <w:rsid w:val="00CD6B0F"/>
    <w:rsid w:val="00CD7F60"/>
    <w:rsid w:val="00CE0B85"/>
    <w:rsid w:val="00CE211A"/>
    <w:rsid w:val="00CE3285"/>
    <w:rsid w:val="00CE3E54"/>
    <w:rsid w:val="00CE40B2"/>
    <w:rsid w:val="00CE46CC"/>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59EF"/>
    <w:rsid w:val="00D4722C"/>
    <w:rsid w:val="00D475A8"/>
    <w:rsid w:val="00D5109A"/>
    <w:rsid w:val="00D51117"/>
    <w:rsid w:val="00D5217E"/>
    <w:rsid w:val="00D52E33"/>
    <w:rsid w:val="00D53171"/>
    <w:rsid w:val="00D54E99"/>
    <w:rsid w:val="00D552ED"/>
    <w:rsid w:val="00D55AB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139"/>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4AC6"/>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5CF9"/>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CF9"/>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FD5CF9"/>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FD5CF9"/>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FD5CF9"/>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F550-5D59-4D69-8CC7-941FA3B4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3524</Words>
  <Characters>20093</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23570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2</cp:revision>
  <cp:lastPrinted>2008-11-05T16:07:00Z</cp:lastPrinted>
  <dcterms:created xsi:type="dcterms:W3CDTF">2013-02-28T09:07:00Z</dcterms:created>
  <dcterms:modified xsi:type="dcterms:W3CDTF">2013-02-28T09:07:00Z</dcterms:modified>
</cp:coreProperties>
</file>